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30EE8D">
      <w:pPr>
        <w:jc w:val="center"/>
        <w:rPr>
          <w:b/>
          <w:sz w:val="36"/>
          <w:szCs w:val="36"/>
        </w:rPr>
      </w:pPr>
      <w:r>
        <w:rPr>
          <w:rFonts w:hint="eastAsia"/>
          <w:b/>
          <w:sz w:val="36"/>
          <w:szCs w:val="36"/>
        </w:rPr>
        <w:t>研究生选课指南</w:t>
      </w:r>
    </w:p>
    <w:p w14:paraId="77EB77EA">
      <w:pPr>
        <w:pStyle w:val="2"/>
        <w:spacing w:before="120" w:after="0"/>
        <w:rPr>
          <w:rFonts w:ascii="黑体" w:hAnsi="黑体" w:eastAsia="黑体"/>
          <w:sz w:val="28"/>
          <w:szCs w:val="28"/>
        </w:rPr>
      </w:pPr>
      <w:r>
        <w:rPr>
          <w:rFonts w:hint="eastAsia" w:ascii="黑体" w:hAnsi="黑体" w:eastAsia="黑体"/>
          <w:sz w:val="28"/>
          <w:szCs w:val="28"/>
        </w:rPr>
        <w:t>一、按培养方案制定个人培养计划</w:t>
      </w:r>
    </w:p>
    <w:p w14:paraId="6949508B">
      <w:pPr>
        <w:ind w:firstLine="480" w:firstLineChars="200"/>
        <w:rPr>
          <w:sz w:val="24"/>
          <w:szCs w:val="24"/>
        </w:rPr>
      </w:pPr>
      <w:r>
        <w:rPr>
          <w:rFonts w:hint="eastAsia" w:ascii="宋体" w:hAnsi="宋体" w:eastAsia="宋体" w:cs="Tahoma"/>
          <w:color w:val="000000"/>
          <w:kern w:val="0"/>
          <w:sz w:val="24"/>
          <w:szCs w:val="24"/>
        </w:rPr>
        <w:t>培养方案是研究生制定个人培养计划、进行培养工作的实施标准和主要依据。研究生根据所在学科培养方案的要求，并结合自身特点，在导师指导下制定的个人培养计划。研究生按照已制定的个人培养计划进行选课。</w:t>
      </w:r>
    </w:p>
    <w:p w14:paraId="2B0A11AB">
      <w:pPr>
        <w:widowControl/>
        <w:spacing w:line="360" w:lineRule="atLeast"/>
        <w:ind w:firstLine="405"/>
        <w:jc w:val="center"/>
        <w:rPr>
          <w:rFonts w:ascii="Tahoma" w:hAnsi="Tahoma" w:eastAsia="宋体" w:cs="Tahoma"/>
          <w:color w:val="000000"/>
          <w:kern w:val="0"/>
          <w:sz w:val="24"/>
          <w:szCs w:val="24"/>
        </w:rPr>
      </w:pPr>
      <w:r>
        <w:rPr>
          <w:rFonts w:ascii="Tahoma" w:hAnsi="Tahoma" w:eastAsia="宋体" w:cs="Tahoma"/>
          <w:color w:val="000000"/>
          <w:kern w:val="0"/>
          <w:sz w:val="24"/>
          <w:szCs w:val="24"/>
        </w:rPr>
        <w:drawing>
          <wp:inline distT="0" distB="0" distL="0" distR="0">
            <wp:extent cx="5391150" cy="3133725"/>
            <wp:effectExtent l="0" t="0" r="0" b="0"/>
            <wp:docPr id="22" name="图片 22" descr="https://www.gs.sjtu.edu.cn/myzx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https://www.gs.sjtu.edu.cn/myzx_image00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391150" cy="3133725"/>
                    </a:xfrm>
                    <a:prstGeom prst="rect">
                      <a:avLst/>
                    </a:prstGeom>
                    <a:noFill/>
                    <a:ln>
                      <a:noFill/>
                    </a:ln>
                  </pic:spPr>
                </pic:pic>
              </a:graphicData>
            </a:graphic>
          </wp:inline>
        </w:drawing>
      </w:r>
      <w:r>
        <w:rPr>
          <w:rFonts w:hint="eastAsia" w:ascii="宋体" w:hAnsi="宋体" w:eastAsia="宋体" w:cs="Tahoma"/>
          <w:color w:val="000000"/>
          <w:kern w:val="0"/>
          <w:sz w:val="20"/>
          <w:szCs w:val="20"/>
        </w:rPr>
        <w:t>图</w:t>
      </w:r>
      <w:r>
        <w:rPr>
          <w:rFonts w:ascii="Times New Roman" w:hAnsi="Times New Roman" w:eastAsia="宋体" w:cs="Times New Roman"/>
          <w:color w:val="000000"/>
          <w:kern w:val="0"/>
          <w:sz w:val="20"/>
          <w:szCs w:val="20"/>
        </w:rPr>
        <w:t>1</w:t>
      </w:r>
      <w:r>
        <w:rPr>
          <w:rFonts w:hint="eastAsia" w:ascii="宋体" w:hAnsi="宋体" w:eastAsia="宋体" w:cs="Tahoma"/>
          <w:color w:val="000000"/>
          <w:kern w:val="0"/>
          <w:sz w:val="20"/>
          <w:szCs w:val="20"/>
        </w:rPr>
        <w:t>：培养计划制定流程</w:t>
      </w:r>
    </w:p>
    <w:p w14:paraId="0A8DC28E">
      <w:pPr>
        <w:widowControl/>
        <w:spacing w:line="360" w:lineRule="atLeast"/>
        <w:ind w:firstLine="420"/>
        <w:jc w:val="left"/>
        <w:rPr>
          <w:sz w:val="24"/>
          <w:szCs w:val="24"/>
        </w:rPr>
      </w:pPr>
      <w:r>
        <w:rPr>
          <w:rFonts w:hint="eastAsia" w:ascii="宋体" w:hAnsi="宋体" w:eastAsia="宋体" w:cs="Tahoma"/>
          <w:color w:val="000000"/>
          <w:kern w:val="0"/>
          <w:sz w:val="24"/>
          <w:szCs w:val="24"/>
        </w:rPr>
        <w:t>研究生在每学期开学初</w:t>
      </w:r>
      <w:r>
        <w:rPr>
          <w:rFonts w:hint="eastAsia" w:ascii="Times New Roman" w:hAnsi="Times New Roman" w:eastAsia="宋体" w:cs="Times New Roman"/>
          <w:color w:val="000000"/>
          <w:kern w:val="0"/>
          <w:sz w:val="24"/>
          <w:szCs w:val="24"/>
          <w:lang w:val="en-US" w:eastAsia="zh-CN"/>
        </w:rPr>
        <w:t>1</w:t>
      </w:r>
      <w:r>
        <w:rPr>
          <w:rFonts w:hint="eastAsia" w:ascii="宋体" w:hAnsi="宋体" w:eastAsia="宋体" w:cs="Tahoma"/>
          <w:color w:val="000000"/>
          <w:kern w:val="0"/>
          <w:sz w:val="24"/>
          <w:szCs w:val="24"/>
        </w:rPr>
        <w:t>周内，可根据课程学习和选课情况提交培养计划修改申请，完善个人培养计划。但之前已经选班并修读的课程不能进行更改或删除。</w:t>
      </w:r>
    </w:p>
    <w:p w14:paraId="1544EDD6">
      <w:pPr>
        <w:pStyle w:val="2"/>
        <w:spacing w:before="120" w:after="0"/>
        <w:rPr>
          <w:rFonts w:ascii="黑体" w:hAnsi="黑体" w:eastAsia="黑体"/>
          <w:sz w:val="28"/>
          <w:szCs w:val="28"/>
        </w:rPr>
      </w:pPr>
      <w:r>
        <w:rPr>
          <w:rFonts w:hint="eastAsia" w:ascii="黑体" w:hAnsi="黑体" w:eastAsia="黑体"/>
          <w:sz w:val="28"/>
          <w:szCs w:val="28"/>
        </w:rPr>
        <w:t>二、研究生管理系统登录</w:t>
      </w:r>
    </w:p>
    <w:p w14:paraId="1C059EE7">
      <w:pPr>
        <w:rPr>
          <w:sz w:val="24"/>
          <w:szCs w:val="24"/>
        </w:rPr>
      </w:pPr>
      <w:r>
        <w:rPr>
          <w:rFonts w:hint="eastAsia"/>
          <w:sz w:val="24"/>
          <w:szCs w:val="24"/>
        </w:rPr>
        <w:t xml:space="preserve">登录研究生院主页 </w:t>
      </w:r>
      <w:r>
        <w:fldChar w:fldCharType="begin"/>
      </w:r>
      <w:r>
        <w:instrText xml:space="preserve"> HYPERLINK "http://hitgs.hit.edu.cn/" </w:instrText>
      </w:r>
      <w:r>
        <w:fldChar w:fldCharType="separate"/>
      </w:r>
      <w:r>
        <w:rPr>
          <w:rStyle w:val="10"/>
          <w:sz w:val="24"/>
          <w:szCs w:val="24"/>
        </w:rPr>
        <w:t>http://hitgs.hit.edu.cn/</w:t>
      </w:r>
      <w:r>
        <w:rPr>
          <w:rStyle w:val="10"/>
          <w:sz w:val="24"/>
          <w:szCs w:val="24"/>
        </w:rPr>
        <w:fldChar w:fldCharType="end"/>
      </w:r>
      <w:r>
        <w:rPr>
          <w:rFonts w:hint="eastAsia"/>
          <w:sz w:val="24"/>
          <w:szCs w:val="24"/>
        </w:rPr>
        <w:t>，点击导航栏</w:t>
      </w:r>
      <w:r>
        <w:rPr>
          <w:sz w:val="24"/>
          <w:szCs w:val="24"/>
        </w:rPr>
        <w:sym w:font="Wingdings" w:char="F0E0"/>
      </w:r>
      <w:r>
        <w:rPr>
          <w:rFonts w:hint="eastAsia"/>
          <w:sz w:val="24"/>
          <w:szCs w:val="24"/>
        </w:rPr>
        <w:t>研究生管理系统</w:t>
      </w:r>
    </w:p>
    <w:p w14:paraId="738C964F">
      <w:pPr>
        <w:rPr>
          <w:sz w:val="24"/>
          <w:szCs w:val="24"/>
        </w:rPr>
      </w:pPr>
      <w:r>
        <w:drawing>
          <wp:inline distT="0" distB="0" distL="114300" distR="114300">
            <wp:extent cx="5262880" cy="2654300"/>
            <wp:effectExtent l="0" t="0" r="10160" b="1270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5"/>
                    <a:stretch>
                      <a:fillRect/>
                    </a:stretch>
                  </pic:blipFill>
                  <pic:spPr>
                    <a:xfrm>
                      <a:off x="0" y="0"/>
                      <a:ext cx="5262880" cy="2654300"/>
                    </a:xfrm>
                    <a:prstGeom prst="rect">
                      <a:avLst/>
                    </a:prstGeom>
                    <a:noFill/>
                    <a:ln>
                      <a:noFill/>
                    </a:ln>
                  </pic:spPr>
                </pic:pic>
              </a:graphicData>
            </a:graphic>
          </wp:inline>
        </w:drawing>
      </w:r>
    </w:p>
    <w:p w14:paraId="12F29C9D">
      <w:pPr>
        <w:rPr>
          <w:sz w:val="24"/>
          <w:szCs w:val="24"/>
        </w:rPr>
      </w:pPr>
    </w:p>
    <w:p w14:paraId="521921DB">
      <w:pPr>
        <w:rPr>
          <w:sz w:val="24"/>
          <w:szCs w:val="24"/>
        </w:rPr>
      </w:pPr>
      <w:r>
        <w:rPr>
          <w:sz w:val="24"/>
          <w:szCs w:val="24"/>
        </w:rPr>
        <w:drawing>
          <wp:inline distT="0" distB="0" distL="0" distR="0">
            <wp:extent cx="5274310" cy="2620010"/>
            <wp:effectExtent l="0" t="0" r="254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
                    <a:stretch>
                      <a:fillRect/>
                    </a:stretch>
                  </pic:blipFill>
                  <pic:spPr>
                    <a:xfrm>
                      <a:off x="0" y="0"/>
                      <a:ext cx="5274310" cy="2620010"/>
                    </a:xfrm>
                    <a:prstGeom prst="rect">
                      <a:avLst/>
                    </a:prstGeom>
                  </pic:spPr>
                </pic:pic>
              </a:graphicData>
            </a:graphic>
          </wp:inline>
        </w:drawing>
      </w:r>
    </w:p>
    <w:p w14:paraId="46D91BAA">
      <w:pPr>
        <w:rPr>
          <w:b/>
          <w:color w:val="FF0000"/>
          <w:sz w:val="24"/>
          <w:szCs w:val="24"/>
        </w:rPr>
      </w:pPr>
      <w:r>
        <w:rPr>
          <w:rFonts w:hint="eastAsia"/>
          <w:b/>
          <w:color w:val="FF0000"/>
          <w:sz w:val="24"/>
          <w:szCs w:val="24"/>
        </w:rPr>
        <w:t>浏览器请使用3</w:t>
      </w:r>
      <w:r>
        <w:rPr>
          <w:b/>
          <w:color w:val="FF0000"/>
          <w:sz w:val="24"/>
          <w:szCs w:val="24"/>
        </w:rPr>
        <w:t>60</w:t>
      </w:r>
      <w:r>
        <w:rPr>
          <w:rFonts w:hint="eastAsia"/>
          <w:b/>
          <w:color w:val="FF0000"/>
          <w:sz w:val="24"/>
          <w:szCs w:val="24"/>
        </w:rPr>
        <w:t>浏览器极速模式</w:t>
      </w:r>
    </w:p>
    <w:p w14:paraId="7AFC7E31">
      <w:pPr>
        <w:pStyle w:val="2"/>
        <w:spacing w:before="120" w:after="0"/>
        <w:rPr>
          <w:rFonts w:ascii="黑体" w:hAnsi="黑体" w:eastAsia="黑体"/>
          <w:sz w:val="28"/>
          <w:szCs w:val="28"/>
        </w:rPr>
      </w:pPr>
      <w:r>
        <w:rPr>
          <w:rFonts w:hint="eastAsia" w:ascii="黑体" w:hAnsi="黑体" w:eastAsia="黑体"/>
          <w:sz w:val="28"/>
          <w:szCs w:val="28"/>
        </w:rPr>
        <w:t>三、研究生个人培养计划制定及选课</w:t>
      </w:r>
    </w:p>
    <w:p w14:paraId="35383EA3">
      <w:pPr>
        <w:rPr>
          <w:sz w:val="24"/>
          <w:szCs w:val="24"/>
        </w:rPr>
      </w:pPr>
      <w:r>
        <w:rPr>
          <w:rFonts w:hint="eastAsia"/>
          <w:sz w:val="24"/>
          <w:szCs w:val="24"/>
        </w:rPr>
        <w:t>完成学籍基本信息维护，进入</w:t>
      </w:r>
      <w:r>
        <w:rPr>
          <w:rFonts w:hint="eastAsia"/>
          <w:b/>
          <w:bCs/>
          <w:sz w:val="24"/>
          <w:szCs w:val="24"/>
          <w:highlight w:val="yellow"/>
        </w:rPr>
        <w:t>培养管理</w:t>
      </w:r>
      <w:r>
        <w:rPr>
          <w:b/>
          <w:bCs/>
          <w:sz w:val="24"/>
          <w:szCs w:val="24"/>
          <w:highlight w:val="yellow"/>
        </w:rPr>
        <w:sym w:font="Wingdings" w:char="F0E0"/>
      </w:r>
      <w:r>
        <w:rPr>
          <w:rFonts w:hint="eastAsia"/>
          <w:b/>
          <w:bCs/>
          <w:sz w:val="24"/>
          <w:szCs w:val="24"/>
          <w:highlight w:val="yellow"/>
        </w:rPr>
        <w:t>学生课程管理</w:t>
      </w:r>
      <w:r>
        <w:rPr>
          <w:rFonts w:hint="eastAsia"/>
          <w:sz w:val="24"/>
          <w:szCs w:val="24"/>
        </w:rPr>
        <w:t>。</w:t>
      </w:r>
    </w:p>
    <w:p w14:paraId="314B5408">
      <w:pPr>
        <w:rPr>
          <w:sz w:val="24"/>
          <w:szCs w:val="24"/>
        </w:rPr>
      </w:pPr>
      <w:r>
        <w:rPr>
          <w:sz w:val="24"/>
          <w:szCs w:val="24"/>
        </w:rPr>
        <w:drawing>
          <wp:inline distT="0" distB="0" distL="0" distR="0">
            <wp:extent cx="5274310" cy="175450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4310" cy="1754505"/>
                    </a:xfrm>
                    <a:prstGeom prst="rect">
                      <a:avLst/>
                    </a:prstGeom>
                  </pic:spPr>
                </pic:pic>
              </a:graphicData>
            </a:graphic>
          </wp:inline>
        </w:drawing>
      </w:r>
    </w:p>
    <w:p w14:paraId="584AD5FA">
      <w:pPr>
        <w:pStyle w:val="3"/>
        <w:adjustRightInd w:val="0"/>
        <w:snapToGrid w:val="0"/>
        <w:spacing w:before="120" w:after="0" w:line="300" w:lineRule="auto"/>
        <w:rPr>
          <w:rFonts w:hint="eastAsia"/>
          <w:sz w:val="24"/>
          <w:szCs w:val="24"/>
          <w:lang w:val="en-US" w:eastAsia="zh-CN"/>
        </w:rPr>
      </w:pPr>
      <w:r>
        <w:rPr>
          <w:rFonts w:hint="eastAsia"/>
          <w:sz w:val="24"/>
          <w:szCs w:val="24"/>
          <w:lang w:eastAsia="zh-CN"/>
        </w:rPr>
        <w:t>系统基本操作流程包括：</w:t>
      </w:r>
      <w:r>
        <w:rPr>
          <w:rFonts w:hint="eastAsia"/>
          <w:sz w:val="24"/>
          <w:szCs w:val="24"/>
          <w:lang w:val="en-US" w:eastAsia="zh-CN"/>
        </w:rPr>
        <w:t xml:space="preserve"> </w:t>
      </w:r>
    </w:p>
    <w:p w14:paraId="71C39D0F">
      <w:pPr>
        <w:pStyle w:val="3"/>
        <w:adjustRightInd w:val="0"/>
        <w:snapToGrid w:val="0"/>
        <w:spacing w:before="120" w:after="0" w:line="300" w:lineRule="auto"/>
        <w:rPr>
          <w:rFonts w:hint="eastAsia" w:eastAsiaTheme="majorEastAsia"/>
          <w:sz w:val="24"/>
          <w:szCs w:val="24"/>
          <w:lang w:eastAsia="zh-CN"/>
        </w:rPr>
      </w:pPr>
      <w:r>
        <w:rPr>
          <w:rFonts w:hint="eastAsia"/>
          <w:sz w:val="24"/>
          <w:szCs w:val="24"/>
          <w:lang w:eastAsia="zh-CN"/>
        </w:rPr>
        <w:t>提前修读课程确认——</w:t>
      </w:r>
      <w:r>
        <w:rPr>
          <w:rFonts w:hint="eastAsia"/>
          <w:sz w:val="24"/>
          <w:szCs w:val="24"/>
        </w:rPr>
        <w:t>制定个人培养计划</w:t>
      </w:r>
      <w:r>
        <w:rPr>
          <w:rFonts w:hint="eastAsia"/>
          <w:sz w:val="24"/>
          <w:szCs w:val="24"/>
          <w:lang w:eastAsia="zh-CN"/>
        </w:rPr>
        <w:t>——选择当前学期课程（专业课选课</w:t>
      </w:r>
      <w:r>
        <w:rPr>
          <w:rFonts w:hint="eastAsia"/>
          <w:sz w:val="24"/>
          <w:szCs w:val="24"/>
          <w:lang w:val="en-US" w:eastAsia="zh-CN"/>
        </w:rPr>
        <w:t>/外语选课，选本科生课程</w:t>
      </w:r>
      <w:r>
        <w:rPr>
          <w:rFonts w:hint="eastAsia"/>
          <w:sz w:val="24"/>
          <w:szCs w:val="24"/>
          <w:lang w:eastAsia="zh-CN"/>
        </w:rPr>
        <w:t>），依据学生个人需求进行培养计划修改申请或不及格课程的重修</w:t>
      </w:r>
      <w:r>
        <w:rPr>
          <w:rFonts w:hint="eastAsia"/>
          <w:sz w:val="24"/>
          <w:szCs w:val="24"/>
          <w:lang w:val="en-US" w:eastAsia="zh-CN"/>
        </w:rPr>
        <w:t>/</w:t>
      </w:r>
      <w:r>
        <w:rPr>
          <w:rFonts w:hint="eastAsia"/>
          <w:sz w:val="24"/>
          <w:szCs w:val="24"/>
          <w:lang w:eastAsia="zh-CN"/>
        </w:rPr>
        <w:t>改修申请。</w:t>
      </w:r>
    </w:p>
    <w:p w14:paraId="7CE3C4CB">
      <w:pPr>
        <w:pStyle w:val="3"/>
        <w:adjustRightInd w:val="0"/>
        <w:snapToGrid w:val="0"/>
        <w:spacing w:before="120" w:after="0" w:line="300" w:lineRule="auto"/>
        <w:rPr>
          <w:sz w:val="24"/>
          <w:szCs w:val="24"/>
        </w:rPr>
      </w:pPr>
      <w:r>
        <w:rPr>
          <w:rFonts w:hint="eastAsia"/>
          <w:sz w:val="24"/>
          <w:szCs w:val="24"/>
        </w:rPr>
        <w:t>1</w:t>
      </w:r>
      <w:r>
        <w:rPr>
          <w:sz w:val="24"/>
          <w:szCs w:val="24"/>
        </w:rPr>
        <w:t xml:space="preserve">. </w:t>
      </w:r>
      <w:r>
        <w:rPr>
          <w:rFonts w:hint="eastAsia"/>
          <w:sz w:val="24"/>
          <w:szCs w:val="24"/>
        </w:rPr>
        <w:t>首先对本科期间提前学习的研究生课程进行确认后，再进行培养计划制定</w:t>
      </w:r>
    </w:p>
    <w:p w14:paraId="7504CAA0">
      <w:r>
        <w:rPr>
          <w:rFonts w:hint="eastAsia"/>
          <w:highlight w:val="yellow"/>
        </w:rPr>
        <w:t>提前修读课程确认</w:t>
      </w:r>
      <w:r>
        <w:rPr>
          <w:highlight w:val="yellow"/>
        </w:rPr>
        <w:t>--</w:t>
      </w:r>
      <w:r>
        <w:rPr>
          <w:rFonts w:hint="eastAsia"/>
          <w:highlight w:val="yellow"/>
        </w:rPr>
        <w:t>选课确认</w:t>
      </w:r>
    </w:p>
    <w:p w14:paraId="58D8F286">
      <w:pPr>
        <w:widowControl/>
        <w:jc w:val="left"/>
        <w:rPr>
          <w:rFonts w:ascii="宋体" w:hAnsi="宋体" w:eastAsia="宋体" w:cs="宋体"/>
          <w:kern w:val="0"/>
          <w:sz w:val="24"/>
          <w:szCs w:val="24"/>
        </w:rPr>
      </w:pPr>
      <w:r>
        <w:rPr>
          <w:rFonts w:ascii="宋体" w:hAnsi="宋体" w:eastAsia="宋体" w:cs="宋体"/>
          <w:kern w:val="0"/>
          <w:sz w:val="24"/>
          <w:szCs w:val="24"/>
        </w:rPr>
        <w:drawing>
          <wp:inline distT="0" distB="0" distL="0" distR="0">
            <wp:extent cx="5303520" cy="2087880"/>
            <wp:effectExtent l="0" t="0" r="0" b="7620"/>
            <wp:docPr id="4" name="图片 4" descr="C:\Users\Administrator\AppData\Roaming\Tencent\Users\444546044\QQ\WinTemp\RichOle\@NNY5@1`H7EEMWQF[)K)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AppData\Roaming\Tencent\Users\444546044\QQ\WinTemp\RichOle\@NNY5@1`H7EEMWQF[)K)P)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351074" cy="2106964"/>
                    </a:xfrm>
                    <a:prstGeom prst="rect">
                      <a:avLst/>
                    </a:prstGeom>
                    <a:noFill/>
                    <a:ln>
                      <a:noFill/>
                    </a:ln>
                  </pic:spPr>
                </pic:pic>
              </a:graphicData>
            </a:graphic>
          </wp:inline>
        </w:drawing>
      </w:r>
    </w:p>
    <w:p w14:paraId="4CD3A674">
      <w:pPr>
        <w:pStyle w:val="3"/>
        <w:adjustRightInd w:val="0"/>
        <w:snapToGrid w:val="0"/>
        <w:spacing w:before="120" w:after="0" w:line="300" w:lineRule="auto"/>
        <w:rPr>
          <w:sz w:val="24"/>
          <w:szCs w:val="24"/>
        </w:rPr>
      </w:pPr>
      <w:r>
        <w:rPr>
          <w:rFonts w:hint="eastAsia"/>
          <w:sz w:val="24"/>
          <w:szCs w:val="24"/>
        </w:rPr>
        <w:t>2</w:t>
      </w:r>
      <w:r>
        <w:rPr>
          <w:sz w:val="24"/>
          <w:szCs w:val="24"/>
        </w:rPr>
        <w:t xml:space="preserve"> </w:t>
      </w:r>
      <w:r>
        <w:rPr>
          <w:rFonts w:hint="eastAsia"/>
          <w:sz w:val="24"/>
          <w:szCs w:val="24"/>
        </w:rPr>
        <w:t>制定个人培养计划</w:t>
      </w:r>
    </w:p>
    <w:p w14:paraId="74A03881">
      <w:pPr>
        <w:rPr>
          <w:b/>
          <w:sz w:val="24"/>
          <w:szCs w:val="24"/>
        </w:rPr>
      </w:pPr>
      <w:r>
        <w:rPr>
          <w:rFonts w:hint="eastAsia"/>
          <w:b/>
          <w:sz w:val="24"/>
          <w:szCs w:val="24"/>
          <w:highlight w:val="yellow"/>
        </w:rPr>
        <w:t>培养管理-</w:t>
      </w:r>
      <w:r>
        <w:rPr>
          <w:b/>
          <w:sz w:val="24"/>
          <w:szCs w:val="24"/>
          <w:highlight w:val="yellow"/>
        </w:rPr>
        <w:t>-</w:t>
      </w:r>
      <w:r>
        <w:rPr>
          <w:rFonts w:hint="eastAsia"/>
          <w:b/>
          <w:sz w:val="24"/>
          <w:szCs w:val="24"/>
          <w:highlight w:val="yellow"/>
        </w:rPr>
        <w:t>培养计划申请</w:t>
      </w:r>
      <w:r>
        <w:rPr>
          <w:rFonts w:hint="eastAsia"/>
          <w:sz w:val="24"/>
          <w:szCs w:val="24"/>
        </w:rPr>
        <w:t>，学生制定的个人培养计划需满足培养方案要求，保存后，可先查看</w:t>
      </w:r>
      <w:r>
        <w:rPr>
          <w:rFonts w:hint="eastAsia"/>
          <w:b/>
          <w:sz w:val="24"/>
          <w:szCs w:val="24"/>
          <w:highlight w:val="yellow"/>
        </w:rPr>
        <w:t>培养计划课表</w:t>
      </w:r>
      <w:r>
        <w:rPr>
          <w:rFonts w:hint="eastAsia"/>
          <w:sz w:val="28"/>
          <w:szCs w:val="28"/>
        </w:rPr>
        <w:t>（</w:t>
      </w:r>
      <w:r>
        <w:rPr>
          <w:rFonts w:hint="eastAsia"/>
          <w:b/>
          <w:sz w:val="28"/>
          <w:szCs w:val="28"/>
        </w:rPr>
        <w:t>培养计划课表≠最终课表</w:t>
      </w:r>
      <w:r>
        <w:rPr>
          <w:rFonts w:hint="eastAsia"/>
          <w:sz w:val="28"/>
          <w:szCs w:val="28"/>
        </w:rPr>
        <w:t>）</w:t>
      </w:r>
      <w:r>
        <w:rPr>
          <w:rFonts w:hint="eastAsia"/>
          <w:sz w:val="24"/>
          <w:szCs w:val="24"/>
        </w:rPr>
        <w:t>，保证课程没有冲突后再提交导师审核。培养计划导师审核通过后，可以进入系统完成当前学期课程的选课。</w:t>
      </w:r>
      <w:r>
        <w:rPr>
          <w:rFonts w:hint="eastAsia"/>
          <w:b/>
          <w:sz w:val="24"/>
          <w:szCs w:val="24"/>
        </w:rPr>
        <w:t>请提醒导师尽快进行系统审核。</w:t>
      </w:r>
    </w:p>
    <w:p w14:paraId="11C37905">
      <w:pPr>
        <w:rPr>
          <w:sz w:val="24"/>
          <w:szCs w:val="24"/>
        </w:rPr>
      </w:pPr>
      <w:r>
        <w:rPr>
          <w:sz w:val="24"/>
          <w:szCs w:val="24"/>
        </w:rPr>
        <w:drawing>
          <wp:inline distT="0" distB="0" distL="0" distR="0">
            <wp:extent cx="5274310" cy="2184400"/>
            <wp:effectExtent l="0" t="0" r="254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5274310" cy="2184400"/>
                    </a:xfrm>
                    <a:prstGeom prst="rect">
                      <a:avLst/>
                    </a:prstGeom>
                  </pic:spPr>
                </pic:pic>
              </a:graphicData>
            </a:graphic>
          </wp:inline>
        </w:drawing>
      </w:r>
    </w:p>
    <w:p w14:paraId="6ED45D0D">
      <w:pPr>
        <w:pStyle w:val="3"/>
        <w:adjustRightInd w:val="0"/>
        <w:snapToGrid w:val="0"/>
        <w:spacing w:before="120" w:after="0" w:line="300" w:lineRule="auto"/>
        <w:rPr>
          <w:sz w:val="24"/>
          <w:szCs w:val="24"/>
        </w:rPr>
      </w:pPr>
      <w:r>
        <w:rPr>
          <w:sz w:val="24"/>
          <w:szCs w:val="24"/>
        </w:rPr>
        <w:t xml:space="preserve">3 </w:t>
      </w:r>
      <w:r>
        <w:rPr>
          <w:rFonts w:hint="eastAsia"/>
          <w:sz w:val="24"/>
          <w:szCs w:val="24"/>
        </w:rPr>
        <w:t>选课，选择当前学期个人培养计划中开设的课程</w:t>
      </w:r>
    </w:p>
    <w:p w14:paraId="50AC97AF">
      <w:pPr>
        <w:rPr>
          <w:sz w:val="24"/>
          <w:szCs w:val="24"/>
        </w:rPr>
      </w:pPr>
      <w:r>
        <w:rPr>
          <w:rFonts w:hint="eastAsia"/>
          <w:sz w:val="24"/>
          <w:szCs w:val="24"/>
        </w:rPr>
        <w:t>（1）</w:t>
      </w:r>
      <w:r>
        <w:rPr>
          <w:rFonts w:hint="eastAsia"/>
          <w:b/>
          <w:sz w:val="24"/>
          <w:szCs w:val="24"/>
          <w:highlight w:val="yellow"/>
        </w:rPr>
        <w:t>选课管理-</w:t>
      </w:r>
      <w:r>
        <w:rPr>
          <w:b/>
          <w:sz w:val="24"/>
          <w:szCs w:val="24"/>
          <w:highlight w:val="yellow"/>
        </w:rPr>
        <w:t>-</w:t>
      </w:r>
      <w:r>
        <w:rPr>
          <w:rFonts w:hint="eastAsia"/>
          <w:b/>
          <w:sz w:val="24"/>
          <w:szCs w:val="24"/>
          <w:highlight w:val="yellow"/>
        </w:rPr>
        <w:t>计划内专业选课</w:t>
      </w:r>
      <w:r>
        <w:rPr>
          <w:rFonts w:hint="eastAsia"/>
          <w:sz w:val="24"/>
          <w:szCs w:val="24"/>
        </w:rPr>
        <w:t xml:space="preserve"> 选课标签下显示个人培养计划中于当前学期开设的课程列表，点击列表前的选课按钮进行选课（</w:t>
      </w:r>
      <w:r>
        <w:rPr>
          <w:rFonts w:hint="eastAsia"/>
          <w:sz w:val="24"/>
          <w:szCs w:val="24"/>
          <w:highlight w:val="yellow"/>
        </w:rPr>
        <w:t>即选择上课的班级</w:t>
      </w:r>
      <w:r>
        <w:rPr>
          <w:rFonts w:hint="eastAsia"/>
          <w:sz w:val="24"/>
          <w:szCs w:val="24"/>
        </w:rPr>
        <w:t>），在已选课程标签下查看本学期要上的课程信息（上课时间，授课教师）。涉及</w:t>
      </w:r>
      <w:r>
        <w:rPr>
          <w:rFonts w:hint="eastAsia"/>
          <w:b/>
          <w:sz w:val="24"/>
          <w:szCs w:val="24"/>
        </w:rPr>
        <w:t>政治、外语</w:t>
      </w:r>
      <w:r>
        <w:rPr>
          <w:b/>
          <w:sz w:val="24"/>
          <w:szCs w:val="24"/>
        </w:rPr>
        <w:t>、</w:t>
      </w:r>
      <w:r>
        <w:rPr>
          <w:rFonts w:hint="eastAsia"/>
          <w:b/>
          <w:sz w:val="24"/>
          <w:szCs w:val="24"/>
        </w:rPr>
        <w:t>数理等公共课选课</w:t>
      </w:r>
      <w:r>
        <w:rPr>
          <w:rFonts w:hint="eastAsia"/>
          <w:sz w:val="24"/>
          <w:szCs w:val="24"/>
        </w:rPr>
        <w:t>时，需查看研究生院主页教学工作安排通知里的附件，根据公共课课表中院系对应的教学班进行选课。</w:t>
      </w:r>
    </w:p>
    <w:p w14:paraId="3E3529C4">
      <w:pPr>
        <w:ind w:firstLine="480" w:firstLineChars="200"/>
        <w:rPr>
          <w:sz w:val="24"/>
          <w:szCs w:val="24"/>
        </w:rPr>
      </w:pPr>
      <w:r>
        <w:rPr>
          <w:rFonts w:hint="eastAsia"/>
          <w:sz w:val="24"/>
          <w:szCs w:val="24"/>
        </w:rPr>
        <w:t>若点击选课管理后未找到某门课程的相应教学班级，请及时联系开课院系确认课程是否开课。</w:t>
      </w:r>
    </w:p>
    <w:p w14:paraId="70BEB9E3">
      <w:pPr>
        <w:rPr>
          <w:sz w:val="24"/>
          <w:szCs w:val="24"/>
        </w:rPr>
      </w:pPr>
      <w:r>
        <w:rPr>
          <w:sz w:val="24"/>
          <w:szCs w:val="24"/>
        </w:rPr>
        <w:drawing>
          <wp:inline distT="0" distB="0" distL="0" distR="0">
            <wp:extent cx="5274310" cy="2472690"/>
            <wp:effectExtent l="0" t="0" r="2540" b="38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stretch>
                      <a:fillRect/>
                    </a:stretch>
                  </pic:blipFill>
                  <pic:spPr>
                    <a:xfrm>
                      <a:off x="0" y="0"/>
                      <a:ext cx="5274310" cy="2472690"/>
                    </a:xfrm>
                    <a:prstGeom prst="rect">
                      <a:avLst/>
                    </a:prstGeom>
                  </pic:spPr>
                </pic:pic>
              </a:graphicData>
            </a:graphic>
          </wp:inline>
        </w:drawing>
      </w:r>
    </w:p>
    <w:p w14:paraId="71192310">
      <w:pPr>
        <w:rPr>
          <w:color w:val="FF0000"/>
          <w:sz w:val="24"/>
          <w:szCs w:val="24"/>
        </w:rPr>
      </w:pPr>
      <w:r>
        <w:rPr>
          <w:rFonts w:hint="eastAsia"/>
          <w:color w:val="FF0000"/>
          <w:sz w:val="24"/>
          <w:szCs w:val="24"/>
        </w:rPr>
        <w:t>（2）</w:t>
      </w:r>
      <w:r>
        <w:rPr>
          <w:rFonts w:hint="eastAsia"/>
          <w:b/>
          <w:color w:val="FF0000"/>
          <w:sz w:val="24"/>
          <w:szCs w:val="24"/>
          <w:highlight w:val="yellow"/>
        </w:rPr>
        <w:t>选课管理-</w:t>
      </w:r>
      <w:r>
        <w:rPr>
          <w:b/>
          <w:color w:val="FF0000"/>
          <w:sz w:val="24"/>
          <w:szCs w:val="24"/>
          <w:highlight w:val="yellow"/>
        </w:rPr>
        <w:t>-</w:t>
      </w:r>
      <w:r>
        <w:rPr>
          <w:rFonts w:hint="eastAsia"/>
          <w:b/>
          <w:color w:val="FF0000"/>
          <w:sz w:val="24"/>
          <w:szCs w:val="24"/>
          <w:highlight w:val="yellow"/>
        </w:rPr>
        <w:t>计划内外语选课</w:t>
      </w:r>
      <w:r>
        <w:rPr>
          <w:rFonts w:hint="eastAsia"/>
          <w:color w:val="FF0000"/>
          <w:sz w:val="24"/>
          <w:szCs w:val="24"/>
        </w:rPr>
        <w:t xml:space="preserve"> 第一外国语须在规定选课时间内，自行在系统选择课型及上课班级。</w:t>
      </w:r>
    </w:p>
    <w:p w14:paraId="584AD7D3">
      <w:pPr>
        <w:rPr>
          <w:color w:val="FF0000"/>
          <w:sz w:val="24"/>
          <w:szCs w:val="24"/>
        </w:rPr>
      </w:pPr>
      <w:r>
        <w:rPr>
          <w:rFonts w:hint="eastAsia"/>
          <w:color w:val="FF0000"/>
          <w:sz w:val="24"/>
          <w:szCs w:val="24"/>
        </w:rPr>
        <w:t>申请</w:t>
      </w:r>
      <w:r>
        <w:rPr>
          <w:rFonts w:hint="eastAsia"/>
          <w:color w:val="FF0000"/>
          <w:sz w:val="24"/>
          <w:szCs w:val="24"/>
          <w:lang w:eastAsia="zh-CN"/>
        </w:rPr>
        <w:t>外</w:t>
      </w:r>
      <w:r>
        <w:rPr>
          <w:rFonts w:hint="eastAsia"/>
          <w:color w:val="FF0000"/>
          <w:sz w:val="24"/>
          <w:szCs w:val="24"/>
        </w:rPr>
        <w:t>语免修的</w:t>
      </w:r>
      <w:r>
        <w:rPr>
          <w:rFonts w:hint="eastAsia"/>
          <w:color w:val="FF0000"/>
          <w:sz w:val="24"/>
          <w:szCs w:val="24"/>
          <w:lang w:eastAsia="zh-CN"/>
        </w:rPr>
        <w:t>学生</w:t>
      </w:r>
      <w:r>
        <w:rPr>
          <w:rFonts w:hint="eastAsia"/>
          <w:color w:val="FF0000"/>
          <w:sz w:val="24"/>
          <w:szCs w:val="24"/>
        </w:rPr>
        <w:t>，</w:t>
      </w:r>
      <w:r>
        <w:rPr>
          <w:rFonts w:hint="eastAsia"/>
          <w:color w:val="FF0000"/>
          <w:sz w:val="24"/>
          <w:szCs w:val="24"/>
          <w:highlight w:val="yellow"/>
        </w:rPr>
        <w:t>请先选择</w:t>
      </w:r>
      <w:r>
        <w:rPr>
          <w:rFonts w:hint="eastAsia"/>
          <w:color w:val="FF0000"/>
          <w:sz w:val="24"/>
          <w:szCs w:val="24"/>
          <w:highlight w:val="yellow"/>
          <w:lang w:eastAsia="zh-CN"/>
        </w:rPr>
        <w:t>相应课程（英语</w:t>
      </w:r>
      <w:r>
        <w:rPr>
          <w:rFonts w:hint="eastAsia"/>
          <w:color w:val="FF0000"/>
          <w:sz w:val="24"/>
          <w:szCs w:val="24"/>
          <w:highlight w:val="yellow"/>
          <w:lang w:val="en-US" w:eastAsia="zh-CN"/>
        </w:rPr>
        <w:t>/俄语/日语</w:t>
      </w:r>
      <w:r>
        <w:rPr>
          <w:rFonts w:hint="eastAsia"/>
          <w:color w:val="FF0000"/>
          <w:sz w:val="24"/>
          <w:szCs w:val="24"/>
          <w:highlight w:val="yellow"/>
          <w:lang w:eastAsia="zh-CN"/>
        </w:rPr>
        <w:t>）的</w:t>
      </w:r>
      <w:r>
        <w:rPr>
          <w:rFonts w:hint="eastAsia"/>
          <w:color w:val="FF0000"/>
          <w:sz w:val="24"/>
          <w:szCs w:val="24"/>
          <w:highlight w:val="yellow"/>
        </w:rPr>
        <w:t>免修班级</w:t>
      </w:r>
      <w:r>
        <w:rPr>
          <w:rFonts w:hint="eastAsia"/>
          <w:color w:val="FF0000"/>
          <w:sz w:val="24"/>
          <w:szCs w:val="24"/>
        </w:rPr>
        <w:t>，再点击</w:t>
      </w:r>
      <w:r>
        <w:rPr>
          <w:rFonts w:hint="eastAsia"/>
          <w:color w:val="FF0000"/>
          <w:sz w:val="24"/>
          <w:szCs w:val="24"/>
          <w:lang w:eastAsia="zh-CN"/>
        </w:rPr>
        <w:t>“</w:t>
      </w:r>
      <w:r>
        <w:rPr>
          <w:rFonts w:hint="eastAsia"/>
          <w:b/>
          <w:color w:val="FF0000"/>
          <w:sz w:val="24"/>
          <w:szCs w:val="24"/>
          <w:highlight w:val="yellow"/>
          <w:lang w:eastAsia="zh-CN"/>
        </w:rPr>
        <w:t>外</w:t>
      </w:r>
      <w:r>
        <w:rPr>
          <w:rFonts w:hint="eastAsia"/>
          <w:b/>
          <w:color w:val="FF0000"/>
          <w:sz w:val="24"/>
          <w:szCs w:val="24"/>
          <w:highlight w:val="yellow"/>
        </w:rPr>
        <w:t>语</w:t>
      </w:r>
      <w:r>
        <w:rPr>
          <w:rFonts w:hint="eastAsia"/>
          <w:b/>
          <w:color w:val="FF0000"/>
          <w:sz w:val="24"/>
          <w:szCs w:val="24"/>
          <w:highlight w:val="yellow"/>
          <w:lang w:eastAsia="zh-CN"/>
        </w:rPr>
        <w:t>外</w:t>
      </w:r>
      <w:r>
        <w:rPr>
          <w:rFonts w:hint="eastAsia"/>
          <w:b/>
          <w:color w:val="FF0000"/>
          <w:sz w:val="24"/>
          <w:szCs w:val="24"/>
          <w:highlight w:val="yellow"/>
        </w:rPr>
        <w:t>修</w:t>
      </w:r>
      <w:r>
        <w:rPr>
          <w:b/>
          <w:color w:val="FF0000"/>
          <w:sz w:val="24"/>
          <w:szCs w:val="24"/>
          <w:highlight w:val="yellow"/>
        </w:rPr>
        <w:t>—</w:t>
      </w:r>
      <w:r>
        <w:rPr>
          <w:rFonts w:hint="eastAsia"/>
          <w:b/>
          <w:color w:val="FF0000"/>
          <w:sz w:val="24"/>
          <w:szCs w:val="24"/>
          <w:highlight w:val="yellow"/>
          <w:lang w:eastAsia="zh-CN"/>
        </w:rPr>
        <w:t>外</w:t>
      </w:r>
      <w:r>
        <w:rPr>
          <w:rFonts w:hint="eastAsia"/>
          <w:b/>
          <w:color w:val="FF0000"/>
          <w:sz w:val="24"/>
          <w:szCs w:val="24"/>
          <w:highlight w:val="yellow"/>
        </w:rPr>
        <w:t>语免修申请</w:t>
      </w:r>
      <w:r>
        <w:rPr>
          <w:rFonts w:hint="eastAsia"/>
          <w:color w:val="FF0000"/>
          <w:sz w:val="24"/>
          <w:szCs w:val="24"/>
          <w:lang w:eastAsia="zh-CN"/>
        </w:rPr>
        <w:t>”</w:t>
      </w:r>
      <w:r>
        <w:rPr>
          <w:rFonts w:hint="eastAsia"/>
          <w:color w:val="FF0000"/>
          <w:sz w:val="24"/>
          <w:szCs w:val="24"/>
        </w:rPr>
        <w:t>，上传相应佐证材料。</w:t>
      </w:r>
    </w:p>
    <w:p w14:paraId="49A8FF32">
      <w:r>
        <w:drawing>
          <wp:inline distT="0" distB="0" distL="114300" distR="114300">
            <wp:extent cx="5269865" cy="2945765"/>
            <wp:effectExtent l="0" t="0" r="6985" b="698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69865" cy="2945765"/>
                    </a:xfrm>
                    <a:prstGeom prst="rect">
                      <a:avLst/>
                    </a:prstGeom>
                    <a:noFill/>
                    <a:ln>
                      <a:noFill/>
                    </a:ln>
                  </pic:spPr>
                </pic:pic>
              </a:graphicData>
            </a:graphic>
          </wp:inline>
        </w:drawing>
      </w:r>
    </w:p>
    <w:p w14:paraId="5680D440"/>
    <w:p w14:paraId="5AEAEEDE">
      <w:pPr>
        <w:rPr>
          <w:sz w:val="24"/>
          <w:szCs w:val="24"/>
        </w:rPr>
      </w:pPr>
      <w:r>
        <w:rPr>
          <w:rFonts w:hint="eastAsia"/>
          <w:sz w:val="24"/>
          <w:szCs w:val="24"/>
        </w:rPr>
        <w:t>（3）选择本科生课程</w:t>
      </w:r>
    </w:p>
    <w:p w14:paraId="6E5FE105">
      <w:pPr>
        <w:rPr>
          <w:sz w:val="24"/>
          <w:szCs w:val="24"/>
        </w:rPr>
      </w:pPr>
      <w:r>
        <w:rPr>
          <w:rFonts w:hint="eastAsia"/>
          <w:b/>
          <w:sz w:val="24"/>
          <w:szCs w:val="24"/>
          <w:highlight w:val="yellow"/>
        </w:rPr>
        <w:t>选课管理</w:t>
      </w:r>
      <w:r>
        <w:rPr>
          <w:b/>
          <w:sz w:val="24"/>
          <w:szCs w:val="24"/>
          <w:highlight w:val="yellow"/>
        </w:rPr>
        <w:t>—</w:t>
      </w:r>
      <w:r>
        <w:rPr>
          <w:rFonts w:hint="eastAsia"/>
          <w:b/>
          <w:sz w:val="24"/>
          <w:szCs w:val="24"/>
          <w:highlight w:val="yellow"/>
        </w:rPr>
        <w:t>选本科生课</w:t>
      </w:r>
      <w:r>
        <w:rPr>
          <w:rFonts w:hint="eastAsia"/>
          <w:sz w:val="24"/>
          <w:szCs w:val="24"/>
        </w:rPr>
        <w:t xml:space="preserve"> </w:t>
      </w:r>
      <w:r>
        <w:rPr>
          <w:sz w:val="24"/>
          <w:szCs w:val="24"/>
        </w:rPr>
        <w:t xml:space="preserve"> </w:t>
      </w:r>
      <w:r>
        <w:rPr>
          <w:rFonts w:hint="eastAsia"/>
          <w:sz w:val="24"/>
          <w:szCs w:val="24"/>
        </w:rPr>
        <w:t>硕士研究生可选择高年级本科生课程作为补修课或跨学科课程作为选修课，请在规定时间内进行选课。</w:t>
      </w:r>
    </w:p>
    <w:p w14:paraId="2FBD36BC">
      <w:pPr>
        <w:rPr>
          <w:sz w:val="24"/>
          <w:szCs w:val="24"/>
        </w:rPr>
      </w:pPr>
      <w:r>
        <w:rPr>
          <w:sz w:val="24"/>
          <w:szCs w:val="24"/>
        </w:rPr>
        <w:drawing>
          <wp:inline distT="0" distB="0" distL="0" distR="0">
            <wp:extent cx="5274310" cy="209740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2"/>
                    <a:stretch>
                      <a:fillRect/>
                    </a:stretch>
                  </pic:blipFill>
                  <pic:spPr>
                    <a:xfrm>
                      <a:off x="0" y="0"/>
                      <a:ext cx="5274310" cy="2097405"/>
                    </a:xfrm>
                    <a:prstGeom prst="rect">
                      <a:avLst/>
                    </a:prstGeom>
                  </pic:spPr>
                </pic:pic>
              </a:graphicData>
            </a:graphic>
          </wp:inline>
        </w:drawing>
      </w:r>
      <w:r>
        <w:rPr>
          <w:rFonts w:hint="eastAsia"/>
          <w:sz w:val="24"/>
          <w:szCs w:val="24"/>
        </w:rPr>
        <w:t xml:space="preserve">（4）重修 </w:t>
      </w:r>
    </w:p>
    <w:p w14:paraId="2F25D05C">
      <w:pPr>
        <w:rPr>
          <w:sz w:val="24"/>
          <w:szCs w:val="24"/>
        </w:rPr>
      </w:pPr>
      <w:r>
        <w:rPr>
          <w:rFonts w:hint="eastAsia"/>
          <w:sz w:val="24"/>
          <w:szCs w:val="24"/>
        </w:rPr>
        <w:t>不合格的课程，在下一次开课时可以进行重修。</w:t>
      </w:r>
    </w:p>
    <w:p w14:paraId="110767D0">
      <w:pPr>
        <w:rPr>
          <w:rFonts w:hint="eastAsia" w:eastAsiaTheme="minorEastAsia"/>
          <w:sz w:val="24"/>
          <w:szCs w:val="24"/>
          <w:lang w:eastAsia="zh-CN"/>
        </w:rPr>
      </w:pPr>
      <w:r>
        <w:rPr>
          <w:rFonts w:hint="eastAsia"/>
          <w:b/>
          <w:sz w:val="24"/>
          <w:szCs w:val="24"/>
          <w:highlight w:val="yellow"/>
        </w:rPr>
        <w:t>选课管理</w:t>
      </w:r>
      <w:r>
        <w:rPr>
          <w:b/>
          <w:sz w:val="24"/>
          <w:szCs w:val="24"/>
          <w:highlight w:val="yellow"/>
        </w:rPr>
        <w:t>--</w:t>
      </w:r>
      <w:r>
        <w:rPr>
          <w:rFonts w:hint="eastAsia"/>
          <w:b/>
          <w:sz w:val="24"/>
          <w:szCs w:val="24"/>
          <w:highlight w:val="yellow"/>
        </w:rPr>
        <w:t>计划内专业/外语课选课</w:t>
      </w:r>
      <w:r>
        <w:rPr>
          <w:rFonts w:hint="eastAsia"/>
          <w:sz w:val="24"/>
          <w:szCs w:val="24"/>
        </w:rPr>
        <w:t>，在不合格的课程前会有</w:t>
      </w:r>
      <w:r>
        <w:rPr>
          <w:rFonts w:hint="eastAsia"/>
          <w:b/>
          <w:sz w:val="24"/>
          <w:szCs w:val="24"/>
        </w:rPr>
        <w:t>重修</w:t>
      </w:r>
      <w:r>
        <w:rPr>
          <w:rFonts w:hint="eastAsia"/>
          <w:sz w:val="24"/>
          <w:szCs w:val="24"/>
        </w:rPr>
        <w:t>按钮，点击相应按钮进行选课，查看已选课程</w:t>
      </w:r>
      <w:r>
        <w:rPr>
          <w:rFonts w:hint="eastAsia"/>
          <w:sz w:val="24"/>
          <w:szCs w:val="24"/>
          <w:lang w:eastAsia="zh-CN"/>
        </w:rPr>
        <w:t>。</w:t>
      </w:r>
    </w:p>
    <w:p w14:paraId="3FBF3B89">
      <w:pPr>
        <w:rPr>
          <w:sz w:val="24"/>
          <w:szCs w:val="24"/>
        </w:rPr>
      </w:pPr>
    </w:p>
    <w:p w14:paraId="7136EEA1">
      <w:pPr>
        <w:pStyle w:val="3"/>
        <w:keepNext/>
        <w:keepLines/>
        <w:pageBreakBefore w:val="0"/>
        <w:widowControl w:val="0"/>
        <w:kinsoku/>
        <w:wordWrap/>
        <w:overflowPunct/>
        <w:topLinePunct w:val="0"/>
        <w:autoSpaceDE/>
        <w:autoSpaceDN/>
        <w:bidi w:val="0"/>
        <w:adjustRightInd w:val="0"/>
        <w:snapToGrid w:val="0"/>
        <w:spacing w:before="313" w:beforeLines="100" w:after="0" w:line="300" w:lineRule="auto"/>
        <w:textAlignment w:val="auto"/>
        <w:rPr>
          <w:sz w:val="24"/>
          <w:szCs w:val="24"/>
        </w:rPr>
      </w:pPr>
      <w:r>
        <w:rPr>
          <w:sz w:val="24"/>
          <w:szCs w:val="24"/>
        </w:rPr>
        <w:t xml:space="preserve">4. </w:t>
      </w:r>
      <w:r>
        <w:rPr>
          <w:rFonts w:hint="eastAsia"/>
          <w:sz w:val="24"/>
          <w:szCs w:val="24"/>
        </w:rPr>
        <w:t>导师审核通过后，如需增、删、修改课程，需进行培养计划修改，</w:t>
      </w:r>
    </w:p>
    <w:p w14:paraId="0C8AD2DE">
      <w:pPr>
        <w:rPr>
          <w:sz w:val="24"/>
          <w:szCs w:val="24"/>
        </w:rPr>
      </w:pPr>
      <w:r>
        <w:rPr>
          <w:rFonts w:hint="eastAsia"/>
          <w:b/>
          <w:sz w:val="24"/>
          <w:szCs w:val="24"/>
          <w:highlight w:val="yellow"/>
        </w:rPr>
        <w:t>培养管理</w:t>
      </w:r>
      <w:r>
        <w:rPr>
          <w:b/>
          <w:sz w:val="24"/>
          <w:szCs w:val="24"/>
          <w:highlight w:val="yellow"/>
        </w:rPr>
        <w:t>---</w:t>
      </w:r>
      <w:r>
        <w:rPr>
          <w:rFonts w:hint="eastAsia"/>
          <w:b/>
          <w:sz w:val="24"/>
          <w:szCs w:val="24"/>
          <w:highlight w:val="yellow"/>
        </w:rPr>
        <w:t>培养计划修改申请</w:t>
      </w:r>
      <w:r>
        <w:rPr>
          <w:rFonts w:hint="eastAsia"/>
          <w:sz w:val="24"/>
          <w:szCs w:val="24"/>
          <w:highlight w:val="yellow"/>
        </w:rPr>
        <w:t>，</w:t>
      </w:r>
      <w:r>
        <w:rPr>
          <w:rFonts w:hint="eastAsia"/>
          <w:sz w:val="24"/>
          <w:szCs w:val="24"/>
        </w:rPr>
        <w:t>完成后点击</w:t>
      </w:r>
      <w:r>
        <w:rPr>
          <w:rFonts w:hint="eastAsia"/>
          <w:b/>
          <w:sz w:val="24"/>
          <w:szCs w:val="24"/>
          <w:highlight w:val="yellow"/>
        </w:rPr>
        <w:t>提交</w:t>
      </w:r>
      <w:r>
        <w:rPr>
          <w:rFonts w:hint="eastAsia"/>
          <w:sz w:val="24"/>
          <w:szCs w:val="24"/>
        </w:rPr>
        <w:t>，导师审核后可进行选课。</w:t>
      </w:r>
    </w:p>
    <w:p w14:paraId="3A17F44F">
      <w:pPr>
        <w:rPr>
          <w:sz w:val="24"/>
          <w:szCs w:val="24"/>
        </w:rPr>
      </w:pPr>
      <w:r>
        <w:rPr>
          <w:sz w:val="24"/>
          <w:szCs w:val="24"/>
        </w:rPr>
        <w:drawing>
          <wp:inline distT="0" distB="0" distL="0" distR="0">
            <wp:extent cx="5274310" cy="1423670"/>
            <wp:effectExtent l="0" t="0" r="2540"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a:stretch>
                      <a:fillRect/>
                    </a:stretch>
                  </pic:blipFill>
                  <pic:spPr>
                    <a:xfrm>
                      <a:off x="0" y="0"/>
                      <a:ext cx="5274310" cy="1423670"/>
                    </a:xfrm>
                    <a:prstGeom prst="rect">
                      <a:avLst/>
                    </a:prstGeom>
                  </pic:spPr>
                </pic:pic>
              </a:graphicData>
            </a:graphic>
          </wp:inline>
        </w:drawing>
      </w:r>
    </w:p>
    <w:p w14:paraId="5D1FEAFB">
      <w:pPr>
        <w:pStyle w:val="3"/>
        <w:keepNext/>
        <w:keepLines/>
        <w:pageBreakBefore w:val="0"/>
        <w:widowControl w:val="0"/>
        <w:kinsoku/>
        <w:wordWrap/>
        <w:overflowPunct/>
        <w:topLinePunct w:val="0"/>
        <w:autoSpaceDE/>
        <w:autoSpaceDN/>
        <w:bidi w:val="0"/>
        <w:adjustRightInd w:val="0"/>
        <w:snapToGrid w:val="0"/>
        <w:spacing w:before="313" w:beforeLines="100" w:after="0" w:line="300" w:lineRule="auto"/>
        <w:textAlignment w:val="auto"/>
        <w:rPr>
          <w:sz w:val="24"/>
          <w:szCs w:val="24"/>
        </w:rPr>
      </w:pPr>
      <w:r>
        <w:rPr>
          <w:rFonts w:hint="eastAsia"/>
          <w:sz w:val="24"/>
          <w:szCs w:val="24"/>
        </w:rPr>
        <w:t>5</w:t>
      </w:r>
      <w:r>
        <w:rPr>
          <w:sz w:val="24"/>
          <w:szCs w:val="24"/>
        </w:rPr>
        <w:t xml:space="preserve">. </w:t>
      </w:r>
      <w:r>
        <w:rPr>
          <w:rFonts w:hint="eastAsia"/>
          <w:sz w:val="24"/>
          <w:szCs w:val="24"/>
        </w:rPr>
        <w:t>改修</w:t>
      </w:r>
    </w:p>
    <w:p w14:paraId="6C5FE9E3">
      <w:pPr>
        <w:rPr>
          <w:sz w:val="24"/>
          <w:szCs w:val="24"/>
        </w:rPr>
      </w:pPr>
      <w:r>
        <w:rPr>
          <w:rFonts w:hint="eastAsia"/>
          <w:sz w:val="24"/>
          <w:szCs w:val="24"/>
        </w:rPr>
        <w:t>特殊情况下不合格的课程可在导师指导下改修，最多可改修两门次。</w:t>
      </w:r>
    </w:p>
    <w:p w14:paraId="24E1FB59">
      <w:pPr>
        <w:rPr>
          <w:sz w:val="24"/>
          <w:szCs w:val="24"/>
        </w:rPr>
      </w:pPr>
      <w:r>
        <w:rPr>
          <w:rFonts w:hint="eastAsia"/>
          <w:b/>
          <w:sz w:val="24"/>
          <w:szCs w:val="24"/>
          <w:highlight w:val="yellow"/>
        </w:rPr>
        <w:t>培养管理</w:t>
      </w:r>
      <w:r>
        <w:rPr>
          <w:b/>
          <w:sz w:val="24"/>
          <w:szCs w:val="24"/>
          <w:highlight w:val="yellow"/>
        </w:rPr>
        <w:t>---</w:t>
      </w:r>
      <w:r>
        <w:rPr>
          <w:rFonts w:hint="eastAsia"/>
          <w:b/>
          <w:sz w:val="24"/>
          <w:szCs w:val="24"/>
          <w:highlight w:val="yellow"/>
        </w:rPr>
        <w:t>培养计划修改申请，</w:t>
      </w:r>
      <w:r>
        <w:rPr>
          <w:rFonts w:hint="eastAsia"/>
          <w:b/>
          <w:sz w:val="24"/>
          <w:szCs w:val="24"/>
        </w:rPr>
        <w:t>点击不合格课程后的</w:t>
      </w:r>
      <w:r>
        <w:rPr>
          <w:rFonts w:hint="eastAsia"/>
          <w:b/>
          <w:sz w:val="24"/>
          <w:szCs w:val="24"/>
          <w:highlight w:val="yellow"/>
        </w:rPr>
        <w:t>调换课标签</w:t>
      </w:r>
      <w:r>
        <w:rPr>
          <w:rFonts w:hint="eastAsia"/>
          <w:b/>
          <w:sz w:val="24"/>
          <w:szCs w:val="24"/>
        </w:rPr>
        <w:t>，进行改修申请，</w:t>
      </w:r>
      <w:r>
        <w:rPr>
          <w:rFonts w:hint="eastAsia"/>
          <w:sz w:val="24"/>
          <w:szCs w:val="24"/>
        </w:rPr>
        <w:t>完成后点击</w:t>
      </w:r>
      <w:r>
        <w:rPr>
          <w:rFonts w:hint="eastAsia"/>
          <w:b/>
          <w:sz w:val="24"/>
          <w:szCs w:val="24"/>
          <w:highlight w:val="yellow"/>
        </w:rPr>
        <w:t>提交</w:t>
      </w:r>
      <w:r>
        <w:rPr>
          <w:rFonts w:hint="eastAsia"/>
          <w:sz w:val="24"/>
          <w:szCs w:val="24"/>
        </w:rPr>
        <w:t>，导师审核后可进行选课。</w:t>
      </w:r>
    </w:p>
    <w:p w14:paraId="7DAACEDC">
      <w:pPr>
        <w:rPr>
          <w:sz w:val="24"/>
          <w:szCs w:val="24"/>
        </w:rPr>
      </w:pPr>
      <w:r>
        <w:drawing>
          <wp:inline distT="0" distB="0" distL="0" distR="0">
            <wp:extent cx="5274310" cy="2004060"/>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4"/>
                    <a:stretch>
                      <a:fillRect/>
                    </a:stretch>
                  </pic:blipFill>
                  <pic:spPr>
                    <a:xfrm>
                      <a:off x="0" y="0"/>
                      <a:ext cx="5274310" cy="2004060"/>
                    </a:xfrm>
                    <a:prstGeom prst="rect">
                      <a:avLst/>
                    </a:prstGeom>
                  </pic:spPr>
                </pic:pic>
              </a:graphicData>
            </a:graphic>
          </wp:inline>
        </w:drawing>
      </w:r>
    </w:p>
    <w:p w14:paraId="40AECB69">
      <w:pPr>
        <w:pStyle w:val="2"/>
        <w:spacing w:before="120" w:after="0"/>
        <w:rPr>
          <w:rFonts w:ascii="黑体" w:hAnsi="黑体" w:eastAsia="黑体"/>
          <w:sz w:val="28"/>
          <w:szCs w:val="28"/>
        </w:rPr>
      </w:pPr>
      <w:r>
        <w:rPr>
          <w:rFonts w:hint="eastAsia" w:ascii="黑体" w:hAnsi="黑体" w:eastAsia="黑体"/>
          <w:sz w:val="28"/>
          <w:szCs w:val="28"/>
        </w:rPr>
        <w:t>四、补充说明</w:t>
      </w:r>
    </w:p>
    <w:p w14:paraId="1B95B95A">
      <w:pPr>
        <w:rPr>
          <w:sz w:val="24"/>
          <w:szCs w:val="24"/>
        </w:rPr>
      </w:pPr>
      <w:r>
        <w:rPr>
          <w:rFonts w:hint="eastAsia"/>
          <w:sz w:val="24"/>
          <w:szCs w:val="24"/>
        </w:rPr>
        <w:t>1、部分课程设有</w:t>
      </w:r>
      <w:r>
        <w:rPr>
          <w:rFonts w:hint="eastAsia"/>
          <w:sz w:val="24"/>
          <w:szCs w:val="24"/>
          <w:highlight w:val="yellow"/>
        </w:rPr>
        <w:t>限选容量</w:t>
      </w:r>
      <w:r>
        <w:rPr>
          <w:rFonts w:hint="eastAsia"/>
          <w:sz w:val="24"/>
          <w:szCs w:val="24"/>
        </w:rPr>
        <w:t>，若导师系统审核计划通过后，请尽快点击“选课管理”选择本学期课程；若因选课容量已满而无法选课时，需于系统中提交“培养计划修改申请”，导师审核通过后进行“计划内专业课选课”。</w:t>
      </w:r>
    </w:p>
    <w:p w14:paraId="52B678BF">
      <w:pPr>
        <w:rPr>
          <w:rFonts w:hint="eastAsia"/>
          <w:sz w:val="24"/>
          <w:szCs w:val="24"/>
        </w:rPr>
      </w:pPr>
      <w:r>
        <w:rPr>
          <w:rFonts w:hint="eastAsia"/>
          <w:sz w:val="24"/>
          <w:szCs w:val="24"/>
        </w:rPr>
        <w:t>2、</w:t>
      </w:r>
      <w:r>
        <w:rPr>
          <w:rFonts w:hint="eastAsia"/>
          <w:b/>
          <w:sz w:val="24"/>
          <w:szCs w:val="24"/>
        </w:rPr>
        <w:t>培养计划课表≠最终课表</w:t>
      </w:r>
      <w:r>
        <w:rPr>
          <w:rFonts w:hint="eastAsia"/>
          <w:sz w:val="24"/>
          <w:szCs w:val="24"/>
        </w:rPr>
        <w:t>，在培养计划课表中会将政治、数学等公共课程的所有班级上课时间都会显示出来，学生在计划课表中只需查看专业课时间有无冲突即可。</w:t>
      </w:r>
      <w:r>
        <w:rPr>
          <w:rFonts w:hint="eastAsia"/>
          <w:sz w:val="24"/>
          <w:szCs w:val="24"/>
          <w:highlight w:val="yellow"/>
        </w:rPr>
        <w:t>只有通过“课表查询”——“学生个人课表”为最终课表</w:t>
      </w:r>
      <w:r>
        <w:rPr>
          <w:rFonts w:hint="eastAsia"/>
          <w:sz w:val="24"/>
          <w:szCs w:val="24"/>
        </w:rPr>
        <w:t>。政治、数学等公共课需按照教学工作安排通知里附件中</w:t>
      </w:r>
      <w:r>
        <w:rPr>
          <w:rFonts w:hint="eastAsia"/>
          <w:sz w:val="24"/>
          <w:szCs w:val="24"/>
          <w:lang w:val="en-US" w:eastAsia="zh-CN"/>
        </w:rPr>
        <w:t>学院对应</w:t>
      </w:r>
      <w:bookmarkStart w:id="0" w:name="_GoBack"/>
      <w:bookmarkEnd w:id="0"/>
      <w:r>
        <w:rPr>
          <w:rFonts w:hint="eastAsia"/>
          <w:sz w:val="24"/>
          <w:szCs w:val="24"/>
        </w:rPr>
        <w:t>教学班进行选课后，才能查看最终课表。</w:t>
      </w:r>
    </w:p>
    <w:p w14:paraId="08803535">
      <w:pPr>
        <w:rPr>
          <w:rFonts w:hint="eastAsia"/>
          <w:sz w:val="24"/>
          <w:szCs w:val="24"/>
          <w:highlight w:val="none"/>
          <w:lang w:val="en-US" w:eastAsia="zh-CN"/>
        </w:rPr>
      </w:pPr>
      <w:r>
        <w:rPr>
          <w:rFonts w:hint="eastAsia"/>
          <w:sz w:val="24"/>
          <w:szCs w:val="24"/>
          <w:highlight w:val="none"/>
          <w:lang w:val="en-US" w:eastAsia="zh-CN"/>
        </w:rPr>
        <w:t>3、</w:t>
      </w:r>
      <w:r>
        <w:rPr>
          <w:rFonts w:hint="eastAsia"/>
          <w:sz w:val="24"/>
          <w:szCs w:val="24"/>
          <w:highlight w:val="none"/>
        </w:rPr>
        <w:t>“学生个人课表”</w:t>
      </w:r>
      <w:r>
        <w:rPr>
          <w:rFonts w:hint="eastAsia"/>
          <w:sz w:val="24"/>
          <w:szCs w:val="24"/>
          <w:highlight w:val="none"/>
          <w:lang w:eastAsia="zh-CN"/>
        </w:rPr>
        <w:t>中底部</w:t>
      </w:r>
      <w:r>
        <w:rPr>
          <w:rFonts w:hint="eastAsia"/>
          <w:sz w:val="24"/>
          <w:szCs w:val="24"/>
          <w:highlight w:val="yellow"/>
          <w:lang w:eastAsia="zh-CN"/>
        </w:rPr>
        <w:t>“未安排时间的课程”</w:t>
      </w:r>
      <w:r>
        <w:rPr>
          <w:rFonts w:hint="eastAsia"/>
          <w:sz w:val="24"/>
          <w:szCs w:val="24"/>
          <w:highlight w:val="none"/>
          <w:lang w:val="en-US" w:eastAsia="zh-CN"/>
        </w:rPr>
        <w:t>为另定课程，即未提前安排上课时间地点的课程，请涉及选课学生及时更新个人课表，并主动联系开课单位或任课教师，以免错过课程开课信息。</w:t>
      </w:r>
    </w:p>
    <w:p w14:paraId="2E689741">
      <w:pPr>
        <w:rPr>
          <w:rFonts w:hint="default"/>
          <w:sz w:val="24"/>
          <w:szCs w:val="24"/>
          <w:highlight w:val="none"/>
          <w:lang w:val="en-US" w:eastAsia="zh-CN"/>
        </w:rPr>
      </w:pPr>
      <w:r>
        <w:rPr>
          <w:rFonts w:hint="eastAsia"/>
          <w:sz w:val="24"/>
          <w:szCs w:val="24"/>
          <w:highlight w:val="none"/>
          <w:lang w:val="en-US" w:eastAsia="zh-CN"/>
        </w:rPr>
        <w:t>4、实验/上机学时部分的时间待定，具体以任课教师通知时间为准。</w:t>
      </w:r>
    </w:p>
    <w:p w14:paraId="31214F39">
      <w:pPr>
        <w:rPr>
          <w:sz w:val="24"/>
          <w:szCs w:val="24"/>
        </w:rPr>
      </w:pPr>
    </w:p>
    <w:sectPr>
      <w:pgSz w:w="11906" w:h="16838"/>
      <w:pgMar w:top="851" w:right="1800" w:bottom="426"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ViNzVhODgyZWMzOGIwNzNkYWY4YTA2MTUyMDBhOTAifQ=="/>
  </w:docVars>
  <w:rsids>
    <w:rsidRoot w:val="00625C76"/>
    <w:rsid w:val="000078B1"/>
    <w:rsid w:val="00093CCC"/>
    <w:rsid w:val="000A5D1A"/>
    <w:rsid w:val="00122EB4"/>
    <w:rsid w:val="00133B65"/>
    <w:rsid w:val="00135601"/>
    <w:rsid w:val="00153071"/>
    <w:rsid w:val="001851E4"/>
    <w:rsid w:val="001A2249"/>
    <w:rsid w:val="001A42CF"/>
    <w:rsid w:val="001A551C"/>
    <w:rsid w:val="001B2FFE"/>
    <w:rsid w:val="001D6E53"/>
    <w:rsid w:val="001F1801"/>
    <w:rsid w:val="00242C00"/>
    <w:rsid w:val="00247022"/>
    <w:rsid w:val="002513F1"/>
    <w:rsid w:val="00266311"/>
    <w:rsid w:val="002D71D9"/>
    <w:rsid w:val="003840D0"/>
    <w:rsid w:val="00392B09"/>
    <w:rsid w:val="003B447E"/>
    <w:rsid w:val="00441BAA"/>
    <w:rsid w:val="004615E9"/>
    <w:rsid w:val="00472060"/>
    <w:rsid w:val="0047333B"/>
    <w:rsid w:val="004A0211"/>
    <w:rsid w:val="00545D3F"/>
    <w:rsid w:val="0057105F"/>
    <w:rsid w:val="005B4718"/>
    <w:rsid w:val="005C4FB3"/>
    <w:rsid w:val="005D2782"/>
    <w:rsid w:val="00625C76"/>
    <w:rsid w:val="00646D67"/>
    <w:rsid w:val="006753D1"/>
    <w:rsid w:val="006D0833"/>
    <w:rsid w:val="006D406D"/>
    <w:rsid w:val="006F6D9F"/>
    <w:rsid w:val="00731556"/>
    <w:rsid w:val="0077019D"/>
    <w:rsid w:val="00797C0B"/>
    <w:rsid w:val="007D5A8D"/>
    <w:rsid w:val="007E2A3D"/>
    <w:rsid w:val="007E66C4"/>
    <w:rsid w:val="00807CDB"/>
    <w:rsid w:val="00843B2E"/>
    <w:rsid w:val="008455A6"/>
    <w:rsid w:val="00872548"/>
    <w:rsid w:val="00894EA1"/>
    <w:rsid w:val="00914A16"/>
    <w:rsid w:val="00922133"/>
    <w:rsid w:val="0092560F"/>
    <w:rsid w:val="00A235BE"/>
    <w:rsid w:val="00A539BB"/>
    <w:rsid w:val="00AD5BAC"/>
    <w:rsid w:val="00B128AE"/>
    <w:rsid w:val="00BA1670"/>
    <w:rsid w:val="00C01DE1"/>
    <w:rsid w:val="00C108D0"/>
    <w:rsid w:val="00C163CF"/>
    <w:rsid w:val="00C47C5D"/>
    <w:rsid w:val="00CA563C"/>
    <w:rsid w:val="00CD2E3E"/>
    <w:rsid w:val="00CE141C"/>
    <w:rsid w:val="00D06274"/>
    <w:rsid w:val="00D71802"/>
    <w:rsid w:val="00D9464C"/>
    <w:rsid w:val="00DD0F5B"/>
    <w:rsid w:val="00DD6795"/>
    <w:rsid w:val="00E41527"/>
    <w:rsid w:val="00ED4311"/>
    <w:rsid w:val="00F969D2"/>
    <w:rsid w:val="00FA1552"/>
    <w:rsid w:val="00FB6BBC"/>
    <w:rsid w:val="00FF5855"/>
    <w:rsid w:val="00FF5E3B"/>
    <w:rsid w:val="03ED5C17"/>
    <w:rsid w:val="044004C3"/>
    <w:rsid w:val="051001D6"/>
    <w:rsid w:val="063B771E"/>
    <w:rsid w:val="06E54213"/>
    <w:rsid w:val="11CC7CB5"/>
    <w:rsid w:val="1EAE0752"/>
    <w:rsid w:val="27B0166B"/>
    <w:rsid w:val="2BA25CCE"/>
    <w:rsid w:val="3186310A"/>
    <w:rsid w:val="3247275C"/>
    <w:rsid w:val="35331646"/>
    <w:rsid w:val="35AA3E06"/>
    <w:rsid w:val="41BE20D3"/>
    <w:rsid w:val="46480C67"/>
    <w:rsid w:val="4D087151"/>
    <w:rsid w:val="5253098E"/>
    <w:rsid w:val="58FA1B64"/>
    <w:rsid w:val="5C9D2F32"/>
    <w:rsid w:val="70690D61"/>
    <w:rsid w:val="729B7ABC"/>
    <w:rsid w:val="769B62DC"/>
    <w:rsid w:val="77D76F4B"/>
    <w:rsid w:val="788D0D8C"/>
    <w:rsid w:val="7C7F70CF"/>
    <w:rsid w:val="7EA45F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6"/>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autoRedefine/>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autoRedefine/>
    <w:semiHidden/>
    <w:unhideWhenUsed/>
    <w:qFormat/>
    <w:uiPriority w:val="99"/>
    <w:pPr>
      <w:jc w:val="left"/>
    </w:pPr>
  </w:style>
  <w:style w:type="paragraph" w:styleId="5">
    <w:name w:val="Balloon Text"/>
    <w:basedOn w:val="1"/>
    <w:link w:val="12"/>
    <w:autoRedefine/>
    <w:semiHidden/>
    <w:unhideWhenUsed/>
    <w:qFormat/>
    <w:uiPriority w:val="99"/>
    <w:rPr>
      <w:sz w:val="18"/>
      <w:szCs w:val="18"/>
    </w:rPr>
  </w:style>
  <w:style w:type="paragraph" w:styleId="6">
    <w:name w:val="footer"/>
    <w:basedOn w:val="1"/>
    <w:link w:val="14"/>
    <w:autoRedefine/>
    <w:unhideWhenUsed/>
    <w:qFormat/>
    <w:uiPriority w:val="99"/>
    <w:pPr>
      <w:tabs>
        <w:tab w:val="center" w:pos="4153"/>
        <w:tab w:val="right" w:pos="8306"/>
      </w:tabs>
      <w:snapToGrid w:val="0"/>
      <w:jc w:val="left"/>
    </w:pPr>
    <w:rPr>
      <w:sz w:val="18"/>
      <w:szCs w:val="18"/>
    </w:rPr>
  </w:style>
  <w:style w:type="paragraph" w:styleId="7">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10">
    <w:name w:val="Hyperlink"/>
    <w:basedOn w:val="9"/>
    <w:autoRedefine/>
    <w:unhideWhenUsed/>
    <w:qFormat/>
    <w:uiPriority w:val="99"/>
    <w:rPr>
      <w:color w:val="0563C1" w:themeColor="hyperlink"/>
      <w:u w:val="single"/>
      <w14:textFill>
        <w14:solidFill>
          <w14:schemeClr w14:val="hlink"/>
        </w14:solidFill>
      </w14:textFill>
    </w:rPr>
  </w:style>
  <w:style w:type="character" w:customStyle="1" w:styleId="11">
    <w:name w:val="Unresolved Mention"/>
    <w:basedOn w:val="9"/>
    <w:autoRedefine/>
    <w:semiHidden/>
    <w:unhideWhenUsed/>
    <w:qFormat/>
    <w:uiPriority w:val="99"/>
    <w:rPr>
      <w:color w:val="605E5C"/>
      <w:shd w:val="clear" w:color="auto" w:fill="E1DFDD"/>
    </w:rPr>
  </w:style>
  <w:style w:type="character" w:customStyle="1" w:styleId="12">
    <w:name w:val="批注框文本 Char"/>
    <w:basedOn w:val="9"/>
    <w:link w:val="5"/>
    <w:autoRedefine/>
    <w:semiHidden/>
    <w:qFormat/>
    <w:uiPriority w:val="99"/>
    <w:rPr>
      <w:sz w:val="18"/>
      <w:szCs w:val="18"/>
    </w:rPr>
  </w:style>
  <w:style w:type="character" w:customStyle="1" w:styleId="13">
    <w:name w:val="页眉 Char"/>
    <w:basedOn w:val="9"/>
    <w:link w:val="7"/>
    <w:autoRedefine/>
    <w:qFormat/>
    <w:uiPriority w:val="99"/>
    <w:rPr>
      <w:sz w:val="18"/>
      <w:szCs w:val="18"/>
    </w:rPr>
  </w:style>
  <w:style w:type="character" w:customStyle="1" w:styleId="14">
    <w:name w:val="页脚 Char"/>
    <w:basedOn w:val="9"/>
    <w:link w:val="6"/>
    <w:autoRedefine/>
    <w:qFormat/>
    <w:uiPriority w:val="99"/>
    <w:rPr>
      <w:sz w:val="18"/>
      <w:szCs w:val="18"/>
    </w:rPr>
  </w:style>
  <w:style w:type="character" w:customStyle="1" w:styleId="15">
    <w:name w:val="标题 1 Char"/>
    <w:basedOn w:val="9"/>
    <w:link w:val="2"/>
    <w:autoRedefine/>
    <w:qFormat/>
    <w:uiPriority w:val="9"/>
    <w:rPr>
      <w:b/>
      <w:bCs/>
      <w:kern w:val="44"/>
      <w:sz w:val="44"/>
      <w:szCs w:val="44"/>
    </w:rPr>
  </w:style>
  <w:style w:type="character" w:customStyle="1" w:styleId="16">
    <w:name w:val="标题 2 Char"/>
    <w:basedOn w:val="9"/>
    <w:link w:val="3"/>
    <w:autoRedefine/>
    <w:qFormat/>
    <w:uiPriority w:val="9"/>
    <w:rPr>
      <w:rFonts w:asciiTheme="majorHAnsi" w:hAnsiTheme="majorHAnsi" w:eastAsiaTheme="majorEastAsia" w:cstheme="majorBidi"/>
      <w:b/>
      <w:bCs/>
      <w:sz w:val="32"/>
      <w:szCs w:val="32"/>
    </w:rPr>
  </w:style>
  <w:style w:type="paragraph" w:styleId="17">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1543</Words>
  <Characters>1580</Characters>
  <Lines>11</Lines>
  <Paragraphs>3</Paragraphs>
  <TotalTime>5</TotalTime>
  <ScaleCrop>false</ScaleCrop>
  <LinksUpToDate>false</LinksUpToDate>
  <CharactersWithSpaces>1592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2018-08-29T23:22:00Z</dcterms:created>
  <dc:creator>1</dc:creator>
  <cp:lastModifiedBy> 葵葵 </cp:lastModifiedBy>
  <dcterms:modified xsi:type="dcterms:W3CDTF">2025-08-19T14:09:25Z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F32E3199C7254E618CE8AD768885E14B_13</vt:lpwstr>
  </property>
  <property fmtid="{D5CDD505-2E9C-101B-9397-08002B2CF9AE}" pid="4" name="KSOTemplateDocerSaveRecord">
    <vt:lpwstr>eyJoZGlkIjoiYWRkYzNmODQzZGRhNjE4NDJhY2FmNDQ0NmQ5ZjZiMTgiLCJ1c2VySWQiOiI0Mjc4NDY5MjgifQ==</vt:lpwstr>
  </property>
</Properties>
</file>