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drawing>
          <wp:inline distT="0" distB="0" distL="0" distR="0">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a:extLst>
                        <a:ext uri="{28A0092B-C50C-407E-A947-70E740481C1C}">
                          <a14:useLocalDpi xmlns:a14="http://schemas.microsoft.com/office/drawing/2010/main" val="0"/>
                        </a:ext>
                      </a:extLst>
                    </a:blip>
                    <a:srcRect l="12876" t="21702" r="12876" b="21702"/>
                    <a:stretch>
                      <a:fillRect/>
                    </a:stretch>
                  </pic:blipFill>
                  <pic:spPr>
                    <a:xfrm>
                      <a:off x="0" y="0"/>
                      <a:ext cx="1619885" cy="619125"/>
                    </a:xfrm>
                    <a:prstGeom prst="rect">
                      <a:avLst/>
                    </a:prstGeom>
                    <a:ln>
                      <a:noFill/>
                    </a:ln>
                  </pic:spPr>
                </pic:pic>
              </a:graphicData>
            </a:graphic>
          </wp:inline>
        </w:drawing>
      </w:r>
    </w:p>
    <w:p>
      <w:pPr>
        <w:jc w:val="center"/>
        <w:rPr>
          <w:b/>
          <w:szCs w:val="22"/>
          <w:u w:val="single"/>
        </w:rPr>
      </w:pPr>
      <w:r>
        <w:rPr>
          <w:b/>
          <w:szCs w:val="22"/>
          <w:u w:val="single"/>
        </w:rPr>
        <w:t>TERMS OF REFERENCE</w:t>
      </w:r>
    </w:p>
    <w:p>
      <w:pPr>
        <w:jc w:val="center"/>
        <w:rPr>
          <w:b/>
          <w:szCs w:val="22"/>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30"/>
        <w:gridCol w:w="580"/>
        <w:gridCol w:w="4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pPr>
            <w:r>
              <w:t>I. Position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Position title</w:t>
            </w:r>
          </w:p>
        </w:tc>
        <w:tc>
          <w:tcPr>
            <w:tcW w:w="4872" w:type="dxa"/>
            <w:gridSpan w:val="2"/>
            <w:shd w:val="clear" w:color="auto" w:fill="auto"/>
          </w:tcPr>
          <w:p>
            <w:pPr>
              <w:pStyle w:val="12"/>
              <w:jc w:val="left"/>
              <w:rPr>
                <w:szCs w:val="22"/>
              </w:rPr>
            </w:pPr>
            <w:r>
              <w:rPr>
                <w:szCs w:val="22"/>
              </w:rPr>
              <w:t>Intern – Human Resources Unit, MHD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Position grade</w:t>
            </w:r>
          </w:p>
        </w:tc>
        <w:tc>
          <w:tcPr>
            <w:tcW w:w="4872" w:type="dxa"/>
            <w:gridSpan w:val="2"/>
            <w:shd w:val="clear" w:color="auto" w:fill="auto"/>
          </w:tcPr>
          <w:p>
            <w:pPr>
              <w:pStyle w:val="12"/>
              <w:jc w:val="left"/>
              <w:rPr>
                <w:szCs w:val="22"/>
              </w:rPr>
            </w:pPr>
            <w:r>
              <w:rPr>
                <w:szCs w:val="22"/>
              </w:rPr>
              <w:t>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Duty station</w:t>
            </w:r>
          </w:p>
        </w:tc>
        <w:tc>
          <w:tcPr>
            <w:tcW w:w="4872" w:type="dxa"/>
            <w:gridSpan w:val="2"/>
            <w:shd w:val="clear" w:color="auto" w:fill="auto"/>
          </w:tcPr>
          <w:p>
            <w:pPr>
              <w:pStyle w:val="12"/>
              <w:jc w:val="left"/>
              <w:rPr>
                <w:szCs w:val="22"/>
              </w:rPr>
            </w:pPr>
            <w:r>
              <w:rPr>
                <w:szCs w:val="22"/>
              </w:rPr>
              <w:t>Washington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Organizational unit</w:t>
            </w:r>
          </w:p>
        </w:tc>
        <w:tc>
          <w:tcPr>
            <w:tcW w:w="4872" w:type="dxa"/>
            <w:gridSpan w:val="2"/>
            <w:shd w:val="clear" w:color="auto" w:fill="auto"/>
          </w:tcPr>
          <w:p>
            <w:pPr>
              <w:pStyle w:val="12"/>
              <w:jc w:val="left"/>
              <w:rPr>
                <w:szCs w:val="22"/>
              </w:rPr>
            </w:pPr>
            <w:r>
              <w:rPr>
                <w:szCs w:val="22"/>
              </w:rPr>
              <w:t>Migration Health Division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Is this a Regional, HQ, MAC, PAC, Liaison Office or Country Office based position?</w:t>
            </w:r>
          </w:p>
        </w:tc>
        <w:tc>
          <w:tcPr>
            <w:tcW w:w="4872" w:type="dxa"/>
            <w:gridSpan w:val="2"/>
            <w:shd w:val="clear" w:color="auto" w:fill="auto"/>
          </w:tcPr>
          <w:p>
            <w:pPr>
              <w:pStyle w:val="12"/>
              <w:jc w:val="left"/>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rPr>
                <w:szCs w:val="22"/>
              </w:rPr>
            </w:pPr>
            <w:r>
              <w:rPr>
                <w:szCs w:val="22"/>
              </w:rPr>
              <w:t xml:space="preserve">Reports directly to </w:t>
            </w:r>
          </w:p>
        </w:tc>
        <w:tc>
          <w:tcPr>
            <w:tcW w:w="4872" w:type="dxa"/>
            <w:gridSpan w:val="2"/>
            <w:shd w:val="clear" w:color="auto" w:fill="auto"/>
          </w:tcPr>
          <w:p>
            <w:pPr>
              <w:pStyle w:val="12"/>
              <w:rPr>
                <w:szCs w:val="22"/>
              </w:rPr>
            </w:pPr>
            <w:r>
              <w:rPr>
                <w:szCs w:val="22"/>
              </w:rPr>
              <w:t>Human Resources Business Partner (MHD)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jc w:val="left"/>
            </w:pPr>
            <w:r>
              <w:t>II. Organizational Context and Scope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8302" w:type="dxa"/>
            <w:gridSpan w:val="3"/>
            <w:shd w:val="clear" w:color="auto" w:fill="auto"/>
            <w:tcMar>
              <w:top w:w="142" w:type="dxa"/>
              <w:bottom w:w="142" w:type="dxa"/>
            </w:tcMar>
          </w:tcPr>
          <w:p>
            <w:pPr>
              <w:rPr>
                <w:b/>
                <w:szCs w:val="22"/>
                <w:u w:val="single"/>
              </w:rPr>
            </w:pPr>
            <w:r>
              <w:rPr>
                <w:b/>
                <w:szCs w:val="22"/>
                <w:u w:val="single"/>
              </w:rPr>
              <w:t>Background Information</w:t>
            </w:r>
          </w:p>
          <w:p>
            <w:r>
              <w:t xml:space="preserve">Within the Department of Programme Support and Migration Management (DPSMM), the Migration Health Division (MHD) has the institutional responsibility to oversee, support and coordinate the Organization’s provision of migration health services globally.  The Division provides technical guidance and policy advice, establishes partnerships with relevant governmental, multilateral, civil society and private entities in the domain of migration health, and identifies strategies and programmatic approaches that are informed by agreed policies, evidence, standards and trends in the sector.  </w:t>
            </w:r>
          </w:p>
          <w:p>
            <w:pPr>
              <w:rPr>
                <w:b/>
                <w:szCs w:val="22"/>
                <w:u w:val="single"/>
              </w:rPr>
            </w:pPr>
            <w:r>
              <w:rPr>
                <w:b/>
                <w:szCs w:val="22"/>
                <w:u w:val="single"/>
              </w:rPr>
              <w:t>Supervision</w:t>
            </w:r>
          </w:p>
          <w:p>
            <w:pPr>
              <w:rPr>
                <w:rFonts w:hint="eastAsia" w:eastAsia="宋体"/>
                <w:i/>
                <w:iCs/>
                <w:lang w:val="en-US" w:eastAsia="zh-CN"/>
              </w:rPr>
            </w:pPr>
            <w:r>
              <w:t>The Intern will work under the guidance and supervision of the Human Resources Business Partner (MHD) and in cooperation with other colleagues in IOM Headquarters and IOM Manila Administrative Centre</w:t>
            </w:r>
            <w:r>
              <w:rPr>
                <w:rFonts w:hint="eastAsia" w:eastAsia="宋体"/>
                <w:lang w:val="en-US" w:eastAsia="zh-CN"/>
              </w:rPr>
              <w: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pPr>
            <w:r>
              <w:t>III. Responsibilities and Accountabilities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302" w:type="dxa"/>
            <w:gridSpan w:val="3"/>
            <w:tcBorders>
              <w:bottom w:val="single" w:color="auto" w:sz="4" w:space="0"/>
            </w:tcBorders>
            <w:shd w:val="clear" w:color="auto" w:fill="auto"/>
          </w:tcPr>
          <w:p>
            <w:pPr>
              <w:pStyle w:val="30"/>
              <w:jc w:val="both"/>
              <w:rPr>
                <w:color w:val="auto"/>
              </w:rPr>
            </w:pPr>
          </w:p>
          <w:p>
            <w:r>
              <w:t>Under the supervision of the Human Resources Business Partner (MHD), and in accordance with the overall direction of the Director of the Migration Health Division, the intern will assist with the Human Resources activities of the Migration Health Division.</w:t>
            </w:r>
          </w:p>
          <w:p>
            <w:pPr>
              <w:pStyle w:val="21"/>
              <w:numPr>
                <w:ilvl w:val="0"/>
                <w:numId w:val="2"/>
              </w:numPr>
              <w:rPr>
                <w:color w:val="auto"/>
              </w:rPr>
            </w:pPr>
            <w:r>
              <w:rPr>
                <w:color w:val="auto"/>
              </w:rPr>
              <w:t>Support the Human Resources Business Partner (MHD) and team on work related to Human Resources at the HQ level.</w:t>
            </w:r>
          </w:p>
          <w:p>
            <w:pPr>
              <w:pStyle w:val="21"/>
              <w:numPr>
                <w:ilvl w:val="0"/>
                <w:numId w:val="2"/>
              </w:numPr>
              <w:rPr>
                <w:color w:val="auto"/>
              </w:rPr>
            </w:pPr>
            <w:r>
              <w:rPr>
                <w:color w:val="auto"/>
              </w:rPr>
              <w:t>Assist with transferring the standard Position Descriptions of Rated generic PDs to the new PD template.</w:t>
            </w:r>
          </w:p>
          <w:p>
            <w:pPr>
              <w:pStyle w:val="21"/>
              <w:numPr>
                <w:ilvl w:val="0"/>
                <w:numId w:val="2"/>
              </w:numPr>
              <w:rPr>
                <w:color w:val="auto"/>
              </w:rPr>
            </w:pPr>
            <w:r>
              <w:rPr>
                <w:color w:val="auto"/>
              </w:rPr>
              <w:t>Learn by practical experience how to update the MHD Global Organizational Chart and post descriptions.</w:t>
            </w:r>
          </w:p>
          <w:p>
            <w:pPr>
              <w:pStyle w:val="21"/>
              <w:numPr>
                <w:ilvl w:val="0"/>
                <w:numId w:val="2"/>
              </w:numPr>
              <w:rPr>
                <w:color w:val="auto"/>
              </w:rPr>
            </w:pPr>
            <w:r>
              <w:rPr>
                <w:color w:val="auto"/>
              </w:rPr>
              <w:t>Support in building the generic library for other positions.</w:t>
            </w:r>
          </w:p>
          <w:p>
            <w:pPr>
              <w:pStyle w:val="21"/>
              <w:numPr>
                <w:ilvl w:val="0"/>
                <w:numId w:val="2"/>
              </w:numPr>
              <w:rPr>
                <w:color w:val="auto"/>
              </w:rPr>
            </w:pPr>
            <w:r>
              <w:rPr>
                <w:color w:val="auto"/>
              </w:rPr>
              <w:t>Coordinate with relevant stakeholders on the necessity to update MHD-related files.</w:t>
            </w:r>
          </w:p>
          <w:p>
            <w:pPr>
              <w:pStyle w:val="21"/>
              <w:numPr>
                <w:ilvl w:val="0"/>
                <w:numId w:val="2"/>
              </w:numPr>
              <w:rPr>
                <w:color w:val="auto"/>
              </w:rPr>
            </w:pPr>
            <w:r>
              <w:rPr>
                <w:color w:val="auto"/>
              </w:rPr>
              <w:t>Support the Division by organizing meetings, training activities, and other Human Resources events by carrying out logistical activities such as the arrangement of meeting facilities, equipment, and materials, preparation of correspondence, and drafting and assembling of needed documents.</w:t>
            </w:r>
          </w:p>
          <w:p>
            <w:pPr>
              <w:pStyle w:val="21"/>
              <w:numPr>
                <w:ilvl w:val="0"/>
                <w:numId w:val="2"/>
              </w:numPr>
              <w:rPr>
                <w:color w:val="auto"/>
              </w:rPr>
            </w:pPr>
            <w:r>
              <w:rPr>
                <w:color w:val="auto"/>
              </w:rPr>
              <w:t>Perform any other duties as may be assigned.</w:t>
            </w:r>
          </w:p>
          <w:p>
            <w:pPr>
              <w:rPr>
                <w:b/>
                <w:szCs w:val="22"/>
                <w:u w:val="single"/>
              </w:rPr>
            </w:pPr>
            <w:r>
              <w:rPr>
                <w:b/>
                <w:szCs w:val="22"/>
                <w:u w:val="single"/>
              </w:rPr>
              <w:t>Training Components and Learning Elements</w:t>
            </w:r>
          </w:p>
          <w:p>
            <w:pPr>
              <w:pStyle w:val="21"/>
              <w:numPr>
                <w:ilvl w:val="0"/>
                <w:numId w:val="3"/>
              </w:numPr>
              <w:rPr>
                <w:color w:val="auto"/>
              </w:rPr>
            </w:pPr>
            <w:r>
              <w:rPr>
                <w:color w:val="auto"/>
              </w:rPr>
              <w:t>Gain experience in working in an international multicultural environment, within the United Nations system.</w:t>
            </w:r>
          </w:p>
          <w:p>
            <w:pPr>
              <w:pStyle w:val="21"/>
              <w:numPr>
                <w:ilvl w:val="0"/>
                <w:numId w:val="3"/>
              </w:numPr>
              <w:rPr>
                <w:color w:val="auto"/>
              </w:rPr>
            </w:pPr>
            <w:r>
              <w:rPr>
                <w:color w:val="auto"/>
              </w:rPr>
              <w:t>Gain experience in Human Resources practices in line with IOM and UN standards.</w:t>
            </w:r>
          </w:p>
          <w:p>
            <w:pPr>
              <w:pStyle w:val="21"/>
              <w:numPr>
                <w:ilvl w:val="0"/>
                <w:numId w:val="3"/>
              </w:numPr>
              <w:rPr>
                <w:color w:val="auto"/>
              </w:rPr>
            </w:pPr>
            <w:r>
              <w:rPr>
                <w:color w:val="auto"/>
              </w:rPr>
              <w:t>Acquire experience and technical knowledge of the Human Resources profession.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302" w:type="dxa"/>
            <w:gridSpan w:val="3"/>
            <w:tcBorders>
              <w:bottom w:val="single" w:color="auto" w:sz="4" w:space="0"/>
            </w:tcBorders>
            <w:shd w:val="clear" w:color="auto" w:fill="C0C0C0"/>
            <w:vAlign w:val="center"/>
          </w:tcPr>
          <w:p>
            <w:pPr>
              <w:pStyle w:val="2"/>
            </w:pPr>
            <w:r>
              <w:t>IV. Required Qualifications and Experience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8302" w:type="dxa"/>
            <w:gridSpan w:val="3"/>
            <w:shd w:val="clear" w:color="auto" w:fill="D9D9D9"/>
            <w:vAlign w:val="center"/>
          </w:tcPr>
          <w:p>
            <w:pPr>
              <w:pStyle w:val="2"/>
              <w:rPr>
                <w:b w:val="0"/>
              </w:rPr>
            </w:pPr>
            <w:r>
              <w:rPr>
                <w:szCs w:val="22"/>
                <w:lang w:eastAsia="en-US"/>
              </w:rPr>
              <w:t>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bottom w:val="single" w:color="auto" w:sz="4" w:space="0"/>
            </w:tcBorders>
            <w:shd w:val="clear" w:color="auto" w:fill="auto"/>
          </w:tcPr>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Pr>
                <w:p>
                  <w:pPr>
                    <w:spacing w:after="0"/>
                    <w:textAlignment w:val="baseline"/>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Pr>
                <w:p>
                  <w:r>
                    <w:t>Coursework towards an undergraduate degree in Human Resources, Administration, or a related field from an accredited academic institution.</w:t>
                  </w:r>
                </w:p>
              </w:tc>
            </w:tr>
          </w:tbl>
          <w:p>
            <w:pPr>
              <w:autoSpaceDE/>
              <w:autoSpaceDN/>
              <w:adjustRightInd/>
              <w:spacing w:after="0"/>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lang w:val="en-US" w:eastAsia="en-US"/>
              </w:rPr>
            </w:pPr>
            <w:r>
              <w:rPr>
                <w:szCs w:val="22"/>
                <w:lang w:eastAsia="en-US"/>
              </w:rPr>
              <w:t xml:space="preserve">Experience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rPr>
                <w:rFonts w:eastAsia="Arial"/>
              </w:rPr>
            </w:pPr>
          </w:p>
          <w:p>
            <w:pPr>
              <w:pStyle w:val="21"/>
              <w:numPr>
                <w:ilvl w:val="0"/>
                <w:numId w:val="4"/>
              </w:numPr>
              <w:rPr>
                <w:color w:val="auto"/>
              </w:rPr>
            </w:pPr>
            <w:r>
              <w:rPr>
                <w:color w:val="auto"/>
              </w:rPr>
              <w:t>Proficient in Microsoft Office applications e.g. Word, Excel, PowerPoint, E-mail, Outlook;</w:t>
            </w:r>
          </w:p>
          <w:p>
            <w:pPr>
              <w:pStyle w:val="21"/>
              <w:numPr>
                <w:ilvl w:val="0"/>
                <w:numId w:val="4"/>
              </w:numPr>
              <w:rPr>
                <w:color w:val="auto"/>
              </w:rPr>
            </w:pPr>
            <w:r>
              <w:rPr>
                <w:color w:val="auto"/>
              </w:rPr>
              <w:t>Excellent organization and analytical skills, attention to detail, and ability to work with minimal supervision.</w:t>
            </w:r>
          </w:p>
          <w:p>
            <w:pPr>
              <w:pStyle w:val="21"/>
              <w:numPr>
                <w:ilvl w:val="0"/>
                <w:numId w:val="4"/>
              </w:numPr>
              <w:rPr>
                <w:color w:val="auto"/>
              </w:rPr>
            </w:pPr>
            <w:r>
              <w:rPr>
                <w:color w:val="auto"/>
              </w:rPr>
              <w:t>Prior exposure to international humanitarian organizations, non-government or government institutions/organizations in a multi-cultural setting is an advantage.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lang w:val="en-US" w:eastAsia="en-US"/>
              </w:rPr>
            </w:pPr>
            <w:r>
              <w:rPr>
                <w:szCs w:val="22"/>
                <w:lang w:eastAsia="en-US"/>
              </w:rPr>
              <w:t xml:space="preserve">SKILLS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spacing w:after="120"/>
              <w:rPr>
                <w:rFonts w:eastAsia="Arial"/>
                <w:sz w:val="20"/>
              </w:rPr>
            </w:pPr>
          </w:p>
          <w:p>
            <w:pPr>
              <w:pStyle w:val="21"/>
              <w:numPr>
                <w:ilvl w:val="0"/>
                <w:numId w:val="5"/>
              </w:numPr>
              <w:rPr>
                <w:color w:val="auto"/>
              </w:rPr>
            </w:pPr>
            <w:r>
              <w:rPr>
                <w:color w:val="auto"/>
              </w:rPr>
              <w:t>Computer literacy, especially database tools, and experience in using Visio;</w:t>
            </w:r>
          </w:p>
          <w:p>
            <w:pPr>
              <w:pStyle w:val="21"/>
              <w:numPr>
                <w:ilvl w:val="0"/>
                <w:numId w:val="5"/>
              </w:numPr>
              <w:rPr>
                <w:color w:val="auto"/>
              </w:rPr>
            </w:pPr>
            <w:r>
              <w:rPr>
                <w:color w:val="auto"/>
              </w:rPr>
              <w:t>Ability to use Microsoft applications such as Excel, Powerpoint, Outlook, and Word.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302" w:type="dxa"/>
            <w:gridSpan w:val="3"/>
            <w:tcBorders>
              <w:bottom w:val="single" w:color="auto" w:sz="4" w:space="0"/>
            </w:tcBorders>
            <w:shd w:val="clear" w:color="auto" w:fill="C0C0C0"/>
            <w:vAlign w:val="center"/>
          </w:tcPr>
          <w:p>
            <w:pPr>
              <w:pStyle w:val="2"/>
            </w:pPr>
            <w:r>
              <w:rPr>
                <w:szCs w:val="22"/>
              </w:rPr>
              <w:t>V. Languages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010" w:type="dxa"/>
            <w:gridSpan w:val="2"/>
            <w:tcBorders>
              <w:bottom w:val="single" w:color="auto" w:sz="4" w:space="0"/>
            </w:tcBorders>
            <w:shd w:val="clear" w:color="auto" w:fill="E6E6E6"/>
            <w:vAlign w:val="center"/>
          </w:tcPr>
          <w:p>
            <w:pPr>
              <w:spacing w:after="0"/>
              <w:jc w:val="left"/>
              <w:rPr>
                <w:szCs w:val="22"/>
              </w:rPr>
            </w:pPr>
            <w:r>
              <w:rPr>
                <w:szCs w:val="22"/>
              </w:rPr>
              <w:t xml:space="preserve">Required </w:t>
            </w:r>
          </w:p>
          <w:p>
            <w:pPr>
              <w:spacing w:after="0"/>
              <w:jc w:val="left"/>
              <w:rPr>
                <w:i/>
                <w:sz w:val="18"/>
                <w:szCs w:val="18"/>
              </w:rPr>
            </w:pPr>
            <w:r>
              <w:rPr>
                <w:i/>
                <w:sz w:val="18"/>
                <w:szCs w:val="18"/>
              </w:rPr>
              <w:t>(specify the required knowledge)</w:t>
            </w:r>
          </w:p>
        </w:tc>
        <w:tc>
          <w:tcPr>
            <w:tcW w:w="4292" w:type="dxa"/>
            <w:tcBorders>
              <w:bottom w:val="single" w:color="auto" w:sz="4" w:space="0"/>
            </w:tcBorders>
            <w:shd w:val="clear" w:color="auto" w:fill="E6E6E6"/>
            <w:vAlign w:val="center"/>
          </w:tcPr>
          <w:p>
            <w:pPr>
              <w:spacing w:after="0"/>
              <w:jc w:val="left"/>
            </w:pPr>
            <w:r>
              <w:t>Desirable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010" w:type="dxa"/>
            <w:gridSpan w:val="2"/>
            <w:tcBorders>
              <w:bottom w:val="single" w:color="auto" w:sz="4" w:space="0"/>
            </w:tcBorders>
            <w:shd w:val="clear" w:color="auto" w:fill="auto"/>
          </w:tcPr>
          <w:p>
            <w:pPr>
              <w:spacing w:after="0"/>
              <w:rPr>
                <w:szCs w:val="22"/>
              </w:rPr>
            </w:pPr>
            <w:r>
              <w:t>Excellent knowledge of spoken and written English.</w:t>
            </w:r>
          </w:p>
        </w:tc>
        <w:tc>
          <w:tcPr>
            <w:tcW w:w="4292" w:type="dxa"/>
            <w:tcBorders>
              <w:bottom w:val="single" w:color="auto" w:sz="4" w:space="0"/>
            </w:tcBorders>
            <w:shd w:val="clear" w:color="auto" w:fill="auto"/>
          </w:tcPr>
          <w:p>
            <w:pPr>
              <w:spacing w:after="0"/>
              <w:rPr>
                <w:szCs w:val="22"/>
              </w:rPr>
            </w:pPr>
            <w:r>
              <w:t>Working knowledge of another UN language is desirable.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vAlign w:val="center"/>
          </w:tcPr>
          <w:p>
            <w:pPr>
              <w:pStyle w:val="2"/>
            </w:pPr>
            <w:r>
              <w:t>VI. Competencies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spacing w:after="120"/>
              <w:rPr>
                <w:szCs w:val="22"/>
              </w:rPr>
            </w:pPr>
            <w:r>
              <w:rPr>
                <w:szCs w:val="22"/>
              </w:rPr>
              <w:t>The incumbent is expected to demonstrate the following values and competencies:</w:t>
            </w:r>
          </w:p>
          <w:p>
            <w:pPr>
              <w:spacing w:after="120"/>
              <w:rPr>
                <w:b/>
                <w:szCs w:val="22"/>
              </w:rPr>
            </w:pPr>
            <w:r>
              <w:rPr>
                <w:b/>
                <w:szCs w:val="22"/>
              </w:rPr>
              <w:t xml:space="preserve">Values </w:t>
            </w:r>
            <w:r>
              <w:rPr>
                <w:bCs/>
                <w:szCs w:val="22"/>
              </w:rPr>
              <w:t xml:space="preserve">– </w:t>
            </w:r>
            <w:r>
              <w:rPr>
                <w:szCs w:val="22"/>
              </w:rPr>
              <w:t>all IOM staff members must abide by and demonstrate these three values:</w:t>
            </w:r>
          </w:p>
          <w:p>
            <w:pPr>
              <w:numPr>
                <w:ilvl w:val="0"/>
                <w:numId w:val="6"/>
              </w:numPr>
              <w:autoSpaceDE/>
              <w:autoSpaceDN/>
              <w:adjustRightInd/>
              <w:spacing w:after="210" w:line="210" w:lineRule="atLeast"/>
              <w:ind w:left="360" w:right="386"/>
              <w:contextualSpacing/>
              <w:rPr>
                <w:szCs w:val="22"/>
              </w:rPr>
            </w:pPr>
            <w:r>
              <w:rPr>
                <w:szCs w:val="22"/>
                <w:u w:val="single"/>
              </w:rPr>
              <w:t>Inclusion and respect for diversity:</w:t>
            </w:r>
            <w:r>
              <w:rPr>
                <w:szCs w:val="22"/>
              </w:rPr>
              <w:t xml:space="preserve"> respects and promotes individual and cultural differences; encourages diversity and inclusion wherever possible.</w:t>
            </w:r>
          </w:p>
          <w:p>
            <w:pPr>
              <w:numPr>
                <w:ilvl w:val="0"/>
                <w:numId w:val="6"/>
              </w:numPr>
              <w:autoSpaceDE/>
              <w:autoSpaceDN/>
              <w:adjustRightInd/>
              <w:spacing w:after="210" w:line="210" w:lineRule="atLeast"/>
              <w:ind w:left="360" w:right="386"/>
              <w:contextualSpacing/>
              <w:rPr>
                <w:szCs w:val="22"/>
              </w:rPr>
            </w:pPr>
            <w:r>
              <w:rPr>
                <w:szCs w:val="22"/>
                <w:u w:val="single"/>
              </w:rPr>
              <w:t>Integrity and transparency:</w:t>
            </w:r>
            <w:r>
              <w:rPr>
                <w:szCs w:val="22"/>
              </w:rPr>
              <w:t xml:space="preserve"> maintains high ethical standards and acts in a manner consistent with organizational principles/rules and standards of conduct.</w:t>
            </w:r>
          </w:p>
          <w:p>
            <w:pPr>
              <w:numPr>
                <w:ilvl w:val="0"/>
                <w:numId w:val="6"/>
              </w:numPr>
              <w:autoSpaceDE/>
              <w:autoSpaceDN/>
              <w:adjustRightInd/>
              <w:spacing w:after="120" w:line="210" w:lineRule="atLeast"/>
              <w:ind w:left="360" w:right="389"/>
              <w:contextualSpacing/>
              <w:rPr>
                <w:szCs w:val="22"/>
              </w:rPr>
            </w:pPr>
            <w:r>
              <w:rPr>
                <w:szCs w:val="22"/>
                <w:u w:val="single"/>
              </w:rPr>
              <w:t>Professionalism:</w:t>
            </w:r>
            <w:r>
              <w:rPr>
                <w:szCs w:val="22"/>
              </w:rPr>
              <w:t xml:space="preserve"> demonstrates ability to work in a composed, competent and committed manner and exercises careful judgment in meeting day-to-day challenges.</w:t>
            </w:r>
            <w:r>
              <w:rPr>
                <w:szCs w:val="22"/>
              </w:rPr>
              <w:br w:type="textWrapping"/>
            </w:r>
          </w:p>
          <w:p>
            <w:pPr>
              <w:spacing w:after="120"/>
              <w:rPr>
                <w:b/>
                <w:szCs w:val="22"/>
              </w:rPr>
            </w:pPr>
            <w:r>
              <w:rPr>
                <w:b/>
                <w:szCs w:val="22"/>
              </w:rPr>
              <w:t xml:space="preserve">Core Competencies </w:t>
            </w:r>
            <w:r>
              <w:rPr>
                <w:szCs w:val="22"/>
              </w:rPr>
              <w:t xml:space="preserve">– behavioural indicators </w:t>
            </w:r>
            <w:r>
              <w:rPr>
                <w:i/>
                <w:szCs w:val="22"/>
              </w:rPr>
              <w:t>level 1</w:t>
            </w:r>
          </w:p>
          <w:p>
            <w:pPr>
              <w:numPr>
                <w:ilvl w:val="0"/>
                <w:numId w:val="7"/>
              </w:numPr>
              <w:autoSpaceDE/>
              <w:autoSpaceDN/>
              <w:adjustRightInd/>
              <w:spacing w:after="120" w:line="210" w:lineRule="atLeast"/>
              <w:ind w:left="360" w:right="386"/>
              <w:contextualSpacing/>
              <w:rPr>
                <w:szCs w:val="22"/>
                <w:u w:val="single"/>
              </w:rPr>
            </w:pPr>
            <w:r>
              <w:rPr>
                <w:szCs w:val="22"/>
                <w:u w:val="single"/>
              </w:rPr>
              <w:t>Teamwork:</w:t>
            </w:r>
            <w:r>
              <w:rPr>
                <w:szCs w:val="22"/>
              </w:rPr>
              <w:t xml:space="preserve"> develops and promotes effective collaboration within and across units to achieve shared goals and optimize results.</w:t>
            </w:r>
          </w:p>
          <w:p>
            <w:pPr>
              <w:numPr>
                <w:ilvl w:val="0"/>
                <w:numId w:val="7"/>
              </w:numPr>
              <w:autoSpaceDE/>
              <w:autoSpaceDN/>
              <w:adjustRightInd/>
              <w:spacing w:after="210" w:line="210" w:lineRule="atLeast"/>
              <w:ind w:left="360" w:right="386"/>
              <w:contextualSpacing/>
              <w:rPr>
                <w:szCs w:val="22"/>
                <w:u w:val="single"/>
              </w:rPr>
            </w:pPr>
            <w:r>
              <w:rPr>
                <w:szCs w:val="22"/>
                <w:u w:val="single"/>
              </w:rPr>
              <w:t>Delivering results:</w:t>
            </w:r>
            <w:r>
              <w:rPr>
                <w:szCs w:val="22"/>
              </w:rPr>
              <w:t xml:space="preserve"> produces and delivers quality results in a service-oriented and timely manner; is action oriented and committed to achieving agreed outcomes.</w:t>
            </w:r>
          </w:p>
          <w:p>
            <w:pPr>
              <w:numPr>
                <w:ilvl w:val="0"/>
                <w:numId w:val="7"/>
              </w:numPr>
              <w:autoSpaceDE/>
              <w:autoSpaceDN/>
              <w:adjustRightInd/>
              <w:spacing w:after="210" w:line="210" w:lineRule="atLeast"/>
              <w:ind w:left="360" w:right="386"/>
              <w:contextualSpacing/>
              <w:rPr>
                <w:szCs w:val="22"/>
                <w:u w:val="single"/>
              </w:rPr>
            </w:pPr>
            <w:r>
              <w:rPr>
                <w:szCs w:val="22"/>
                <w:u w:val="single"/>
              </w:rPr>
              <w:t>Managing and sharing knowledge:</w:t>
            </w:r>
            <w:r>
              <w:rPr>
                <w:szCs w:val="22"/>
              </w:rPr>
              <w:t xml:space="preserve"> continuously seeks to learn, share knowledge and innovate.</w:t>
            </w:r>
          </w:p>
          <w:p>
            <w:pPr>
              <w:numPr>
                <w:ilvl w:val="0"/>
                <w:numId w:val="7"/>
              </w:numPr>
              <w:autoSpaceDE/>
              <w:autoSpaceDN/>
              <w:adjustRightInd/>
              <w:spacing w:after="210" w:line="210" w:lineRule="atLeast"/>
              <w:ind w:left="360" w:right="386"/>
              <w:contextualSpacing/>
              <w:rPr>
                <w:szCs w:val="22"/>
                <w:u w:val="single"/>
              </w:rPr>
            </w:pPr>
            <w:r>
              <w:rPr>
                <w:szCs w:val="22"/>
                <w:u w:val="single"/>
              </w:rPr>
              <w:t>Accountability:</w:t>
            </w:r>
            <w:r>
              <w:rPr>
                <w:szCs w:val="22"/>
              </w:rPr>
              <w:t xml:space="preserve"> takes ownership for achieving the Organization’s priorities and assumes responsibility for own action and delegated work.</w:t>
            </w:r>
          </w:p>
          <w:p>
            <w:pPr>
              <w:numPr>
                <w:ilvl w:val="0"/>
                <w:numId w:val="7"/>
              </w:numPr>
              <w:autoSpaceDE/>
              <w:autoSpaceDN/>
              <w:adjustRightInd/>
              <w:spacing w:after="210" w:line="210" w:lineRule="atLeast"/>
              <w:ind w:left="360" w:right="386"/>
              <w:contextualSpacing/>
              <w:rPr>
                <w:szCs w:val="22"/>
                <w:u w:val="single"/>
              </w:rPr>
            </w:pPr>
            <w:r>
              <w:rPr>
                <w:szCs w:val="22"/>
                <w:u w:val="single"/>
              </w:rPr>
              <w:t>Communication:</w:t>
            </w:r>
            <w:r>
              <w:rPr>
                <w:szCs w:val="22"/>
              </w:rPr>
              <w:t xml:space="preserve"> encourages and contributes to clear and open communication; explains complex matters in an informative, inspiring and motivational way.</w:t>
            </w:r>
          </w:p>
          <w:p>
            <w:pPr>
              <w:contextualSpacing/>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tcPr>
          <w:p>
            <w:pPr>
              <w:rPr>
                <w:b/>
                <w:smallCaps/>
              </w:rPr>
            </w:pPr>
            <w:r>
              <w:rPr>
                <w:b/>
                <w:smallCaps/>
              </w:rPr>
              <w:t>Notes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spacing w:after="0"/>
              <w:rPr>
                <w:b/>
                <w:szCs w:val="22"/>
                <w:u w:val="single"/>
              </w:rPr>
            </w:pPr>
            <w:r>
              <w:rPr>
                <w:b/>
                <w:szCs w:val="22"/>
                <w:u w:val="single"/>
              </w:rPr>
              <w:t>Eligibility and Selection</w:t>
            </w:r>
          </w:p>
          <w:p>
            <w:pPr>
              <w:spacing w:after="0"/>
              <w:rPr>
                <w:szCs w:val="22"/>
              </w:rPr>
            </w:pPr>
          </w:p>
          <w:p>
            <w:pPr>
              <w:spacing w:after="0"/>
              <w:rPr>
                <w:szCs w:val="22"/>
              </w:rPr>
            </w:pPr>
            <w:r>
              <w:rPr>
                <w:szCs w:val="22"/>
              </w:rPr>
              <w:t>In general, the Internship Programme aims at attracting talented students and graduates who:</w:t>
            </w:r>
          </w:p>
          <w:p>
            <w:pPr>
              <w:spacing w:after="0"/>
              <w:rPr>
                <w:szCs w:val="22"/>
              </w:rPr>
            </w:pPr>
          </w:p>
          <w:p>
            <w:pPr>
              <w:spacing w:after="0"/>
              <w:rPr>
                <w:szCs w:val="22"/>
              </w:rPr>
            </w:pPr>
            <w:r>
              <w:rPr>
                <w:szCs w:val="22"/>
              </w:rPr>
              <w:t>a) have a specific interest in, or whose studies have covered, areas relevant to IOM</w:t>
            </w:r>
          </w:p>
          <w:p>
            <w:pPr>
              <w:spacing w:after="0"/>
              <w:rPr>
                <w:szCs w:val="22"/>
              </w:rPr>
            </w:pPr>
            <w:r>
              <w:rPr>
                <w:szCs w:val="22"/>
              </w:rPr>
              <w:t>programmes and activities;</w:t>
            </w:r>
          </w:p>
          <w:p>
            <w:pPr>
              <w:spacing w:after="0"/>
              <w:rPr>
                <w:szCs w:val="22"/>
              </w:rPr>
            </w:pPr>
          </w:p>
          <w:p>
            <w:pPr>
              <w:spacing w:after="0"/>
              <w:rPr>
                <w:szCs w:val="22"/>
              </w:rPr>
            </w:pPr>
            <w:r>
              <w:rPr>
                <w:szCs w:val="22"/>
              </w:rPr>
              <w:t>b) are holding a scholarship for internship placements in international organizations</w:t>
            </w:r>
          </w:p>
          <w:p>
            <w:pPr>
              <w:spacing w:after="0"/>
              <w:rPr>
                <w:szCs w:val="22"/>
              </w:rPr>
            </w:pPr>
            <w:r>
              <w:rPr>
                <w:szCs w:val="22"/>
              </w:rPr>
              <w:t>and/or for whom internship is required to complete their studies; or</w:t>
            </w:r>
          </w:p>
          <w:p>
            <w:pPr>
              <w:spacing w:after="0"/>
              <w:rPr>
                <w:szCs w:val="22"/>
              </w:rPr>
            </w:pPr>
          </w:p>
          <w:p>
            <w:pPr>
              <w:spacing w:after="0"/>
              <w:rPr>
                <w:szCs w:val="22"/>
              </w:rPr>
            </w:pPr>
            <w:r>
              <w:rPr>
                <w:szCs w:val="22"/>
              </w:rPr>
              <w:t>c) are sponsored by governmental/non-governmental institutions and/or academia to work in specific areas relevant to both IOM and the sponsor.</w:t>
            </w:r>
          </w:p>
          <w:p>
            <w:pPr>
              <w:spacing w:after="0"/>
              <w:rPr>
                <w:szCs w:val="22"/>
              </w:rPr>
            </w:pPr>
          </w:p>
          <w:p>
            <w:pPr>
              <w:spacing w:after="0"/>
              <w:rPr>
                <w:szCs w:val="22"/>
              </w:rPr>
            </w:pPr>
            <w:r>
              <w:rPr>
                <w:szCs w:val="22"/>
              </w:rPr>
              <w:t>d) are either students approaching the end of their studies and preparing a thesis, or recently graduated, who have less than two years of relevant working experience.</w:t>
            </w:r>
          </w:p>
          <w:p>
            <w:pPr>
              <w:spacing w:after="0"/>
              <w:rPr>
                <w:szCs w:val="22"/>
              </w:rPr>
            </w:pPr>
          </w:p>
          <w:p>
            <w:pPr>
              <w:spacing w:after="0"/>
              <w:rPr>
                <w:szCs w:val="22"/>
              </w:rPr>
            </w:pPr>
          </w:p>
          <w:p>
            <w:pPr>
              <w:pStyle w:val="21"/>
              <w:numPr>
                <w:ilvl w:val="0"/>
                <w:numId w:val="8"/>
              </w:numPr>
              <w:spacing w:before="0" w:after="0" w:line="210" w:lineRule="atLeast"/>
              <w:ind w:right="386"/>
              <w:contextualSpacing/>
              <w:rPr>
                <w:szCs w:val="22"/>
              </w:rPr>
            </w:pPr>
            <w:r>
              <w:rPr>
                <w:szCs w:val="22"/>
              </w:rPr>
              <w:t>Only shortlisted candidates will be contacted, and additional enquiries will only be addressed if the candidate is shortlisted.</w:t>
            </w:r>
          </w:p>
          <w:p>
            <w:pPr>
              <w:pStyle w:val="21"/>
              <w:numPr>
                <w:ilvl w:val="0"/>
                <w:numId w:val="8"/>
              </w:numPr>
              <w:spacing w:before="0" w:after="0" w:line="210" w:lineRule="atLeast"/>
              <w:ind w:right="386"/>
              <w:contextualSpacing/>
              <w:rPr>
                <w:szCs w:val="22"/>
              </w:rPr>
            </w:pPr>
            <w:r>
              <w:rPr>
                <w:szCs w:val="22"/>
              </w:rPr>
              <w:t>Please consider the cost of living in the duty station prior to applying.</w:t>
            </w:r>
          </w:p>
          <w:p>
            <w:pPr>
              <w:pStyle w:val="21"/>
              <w:numPr>
                <w:ilvl w:val="0"/>
                <w:numId w:val="0"/>
              </w:numPr>
              <w:spacing w:before="0" w:after="0" w:line="210" w:lineRule="atLeast"/>
              <w:ind w:left="720" w:right="386"/>
              <w:contextualSpacing/>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auto"/>
          </w:tcPr>
          <w:p>
            <w:pPr>
              <w:spacing w:after="0"/>
              <w:rPr>
                <w:szCs w:val="22"/>
              </w:rPr>
            </w:pPr>
            <w:r>
              <w:rPr>
                <w:szCs w:val="22"/>
              </w:rPr>
              <w:t>The appointment is subject to funding confirmation.</w:t>
            </w:r>
          </w:p>
          <w:p>
            <w:pPr>
              <w:spacing w:after="0"/>
              <w:rPr>
                <w:szCs w:val="22"/>
              </w:rPr>
            </w:pPr>
          </w:p>
          <w:p>
            <w:pPr>
              <w:spacing w:after="0"/>
              <w:rPr>
                <w:szCs w:val="22"/>
                <w:lang w:val="en"/>
              </w:rPr>
            </w:pPr>
            <w:r>
              <w:rPr>
                <w:szCs w:val="22"/>
              </w:rPr>
              <w:t>Appointment will be subject to certification that the candidate is medically fit for appointment, any residency or visa requirements, and security clearances</w:t>
            </w:r>
            <w:r>
              <w:rPr>
                <w:szCs w:val="22"/>
                <w:lang w:val="en"/>
              </w:rPr>
              <w:t>.</w:t>
            </w:r>
          </w:p>
          <w:p>
            <w:pPr>
              <w:spacing w:after="0"/>
              <w:rPr>
                <w:szCs w:val="22"/>
                <w:lang w:val="en"/>
              </w:rPr>
            </w:pPr>
          </w:p>
          <w:p>
            <w:pPr>
              <w:spacing w:after="0"/>
              <w:rPr>
                <w:szCs w:val="22"/>
              </w:rPr>
            </w:pPr>
            <w:r>
              <w:rPr>
                <w:szCs w:val="22"/>
                <w:lang w:val="en"/>
              </w:rPr>
              <w:t>No late applications will be accepted.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spacing w:after="0"/>
              <w:rPr>
                <w:b/>
                <w:szCs w:val="22"/>
                <w:u w:val="single"/>
              </w:rPr>
            </w:pPr>
          </w:p>
        </w:tc>
      </w:tr>
    </w:tbl>
    <w:p/>
    <w:sectPr>
      <w:headerReference r:id="rId6" w:type="first"/>
      <w:footerReference r:id="rId9" w:type="first"/>
      <w:headerReference r:id="rId4" w:type="default"/>
      <w:footerReference r:id="rId7" w:type="default"/>
      <w:headerReference r:id="rId5" w:type="even"/>
      <w:footerReference r:id="rId8" w:type="even"/>
      <w:pgSz w:w="11906" w:h="16838"/>
      <w:pgMar w:top="1304" w:right="1797" w:bottom="1304" w:left="179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Style w:val="17"/>
        <w:bCs/>
        <w:sz w:val="16"/>
        <w:szCs w:val="16"/>
      </w:rPr>
      <w:fldChar w:fldCharType="begin"/>
    </w:r>
    <w:r>
      <w:rPr>
        <w:rStyle w:val="17"/>
        <w:bCs/>
        <w:sz w:val="16"/>
        <w:szCs w:val="16"/>
      </w:rPr>
      <w:instrText xml:space="preserve"> PAGE </w:instrText>
    </w:r>
    <w:r>
      <w:rPr>
        <w:rStyle w:val="17"/>
        <w:bCs/>
        <w:sz w:val="16"/>
        <w:szCs w:val="16"/>
      </w:rPr>
      <w:fldChar w:fldCharType="separate"/>
    </w:r>
    <w:r>
      <w:rPr>
        <w:rStyle w:val="17"/>
        <w:bCs/>
        <w:sz w:val="16"/>
        <w:szCs w:val="16"/>
      </w:rPr>
      <w:t>1</w:t>
    </w:r>
    <w:r>
      <w:rPr>
        <w:rStyle w:val="17"/>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577BED"/>
    <w:multiLevelType w:val="multilevel"/>
    <w:tmpl w:val="1C577BE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6BB1122"/>
    <w:multiLevelType w:val="multilevel"/>
    <w:tmpl w:val="26BB112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A9871E2"/>
    <w:multiLevelType w:val="multilevel"/>
    <w:tmpl w:val="4A9871E2"/>
    <w:lvl w:ilvl="0" w:tentative="0">
      <w:start w:val="1"/>
      <w:numFmt w:val="decimal"/>
      <w:pStyle w:val="21"/>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288038D"/>
    <w:multiLevelType w:val="multilevel"/>
    <w:tmpl w:val="5288038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584E7B5D"/>
    <w:multiLevelType w:val="multilevel"/>
    <w:tmpl w:val="584E7B5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63F20FB8"/>
    <w:multiLevelType w:val="multilevel"/>
    <w:tmpl w:val="63F20F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736548CC"/>
    <w:multiLevelType w:val="multilevel"/>
    <w:tmpl w:val="736548C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73AE1FEF"/>
    <w:multiLevelType w:val="multilevel"/>
    <w:tmpl w:val="73AE1F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6"/>
  </w:num>
  <w:num w:numId="4">
    <w:abstractNumId w:val="5"/>
  </w:num>
  <w:num w:numId="5">
    <w:abstractNumId w:val="0"/>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283"/>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D70"/>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75036"/>
    <w:rsid w:val="00080006"/>
    <w:rsid w:val="00080FAD"/>
    <w:rsid w:val="0008321B"/>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439E"/>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0A69"/>
    <w:rsid w:val="00112FD9"/>
    <w:rsid w:val="00116512"/>
    <w:rsid w:val="00116816"/>
    <w:rsid w:val="00116BE5"/>
    <w:rsid w:val="001173E6"/>
    <w:rsid w:val="00120C2A"/>
    <w:rsid w:val="001220C6"/>
    <w:rsid w:val="00122D5A"/>
    <w:rsid w:val="00122EE4"/>
    <w:rsid w:val="001243EE"/>
    <w:rsid w:val="00124C00"/>
    <w:rsid w:val="00124CB7"/>
    <w:rsid w:val="00125AA6"/>
    <w:rsid w:val="00125EDD"/>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A6074"/>
    <w:rsid w:val="001B122A"/>
    <w:rsid w:val="001B4ABD"/>
    <w:rsid w:val="001C24A0"/>
    <w:rsid w:val="001C41BB"/>
    <w:rsid w:val="001C7ED7"/>
    <w:rsid w:val="001D1012"/>
    <w:rsid w:val="001D1894"/>
    <w:rsid w:val="001D48BB"/>
    <w:rsid w:val="001D5CE7"/>
    <w:rsid w:val="001D712F"/>
    <w:rsid w:val="001D7681"/>
    <w:rsid w:val="001E014A"/>
    <w:rsid w:val="001E052A"/>
    <w:rsid w:val="001E1A65"/>
    <w:rsid w:val="001E65A5"/>
    <w:rsid w:val="001E66EF"/>
    <w:rsid w:val="001E675A"/>
    <w:rsid w:val="001F184C"/>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3E23"/>
    <w:rsid w:val="002E4ED2"/>
    <w:rsid w:val="002F3CED"/>
    <w:rsid w:val="002F72D7"/>
    <w:rsid w:val="002F7E73"/>
    <w:rsid w:val="00306928"/>
    <w:rsid w:val="00306E29"/>
    <w:rsid w:val="00306FBF"/>
    <w:rsid w:val="0031259F"/>
    <w:rsid w:val="0031514B"/>
    <w:rsid w:val="00321875"/>
    <w:rsid w:val="003231AB"/>
    <w:rsid w:val="0032558B"/>
    <w:rsid w:val="00327FB4"/>
    <w:rsid w:val="00335346"/>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016E"/>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5C9F"/>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1112"/>
    <w:rsid w:val="00452FD1"/>
    <w:rsid w:val="00455889"/>
    <w:rsid w:val="00455E8C"/>
    <w:rsid w:val="00456CF0"/>
    <w:rsid w:val="00460970"/>
    <w:rsid w:val="00463602"/>
    <w:rsid w:val="00474C68"/>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3B6F"/>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505"/>
    <w:rsid w:val="00621925"/>
    <w:rsid w:val="00622060"/>
    <w:rsid w:val="006221C2"/>
    <w:rsid w:val="0062240B"/>
    <w:rsid w:val="006226C7"/>
    <w:rsid w:val="00622ACC"/>
    <w:rsid w:val="00624D7B"/>
    <w:rsid w:val="0062715D"/>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110D"/>
    <w:rsid w:val="00682212"/>
    <w:rsid w:val="00682DC0"/>
    <w:rsid w:val="00684557"/>
    <w:rsid w:val="00684C46"/>
    <w:rsid w:val="00684C60"/>
    <w:rsid w:val="00691F20"/>
    <w:rsid w:val="00696A95"/>
    <w:rsid w:val="006A1529"/>
    <w:rsid w:val="006A3901"/>
    <w:rsid w:val="006A780E"/>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A49"/>
    <w:rsid w:val="00710F8C"/>
    <w:rsid w:val="00711B35"/>
    <w:rsid w:val="00714994"/>
    <w:rsid w:val="007157F3"/>
    <w:rsid w:val="0071583B"/>
    <w:rsid w:val="00715ADE"/>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211C"/>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0AA3"/>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897"/>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465A"/>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3B05"/>
    <w:rsid w:val="008C520E"/>
    <w:rsid w:val="008C575B"/>
    <w:rsid w:val="008D0088"/>
    <w:rsid w:val="008D1181"/>
    <w:rsid w:val="008D2507"/>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4C0F"/>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06C"/>
    <w:rsid w:val="00983483"/>
    <w:rsid w:val="00983EEA"/>
    <w:rsid w:val="00985BEC"/>
    <w:rsid w:val="00986993"/>
    <w:rsid w:val="009872C5"/>
    <w:rsid w:val="0099449C"/>
    <w:rsid w:val="00995E5D"/>
    <w:rsid w:val="009A3DC6"/>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3FA2"/>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D70F2"/>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56DA2"/>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14CA"/>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474CC"/>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86E2C"/>
    <w:rsid w:val="00C90D29"/>
    <w:rsid w:val="00C9173B"/>
    <w:rsid w:val="00C9283E"/>
    <w:rsid w:val="00C92B92"/>
    <w:rsid w:val="00C92DC5"/>
    <w:rsid w:val="00CA2084"/>
    <w:rsid w:val="00CA30D8"/>
    <w:rsid w:val="00CA69CB"/>
    <w:rsid w:val="00CB1E43"/>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87E"/>
    <w:rsid w:val="00E01FB6"/>
    <w:rsid w:val="00E07C3D"/>
    <w:rsid w:val="00E1161C"/>
    <w:rsid w:val="00E1187D"/>
    <w:rsid w:val="00E11BC7"/>
    <w:rsid w:val="00E12594"/>
    <w:rsid w:val="00E155A0"/>
    <w:rsid w:val="00E16D16"/>
    <w:rsid w:val="00E258D1"/>
    <w:rsid w:val="00E267D2"/>
    <w:rsid w:val="00E30117"/>
    <w:rsid w:val="00E3186D"/>
    <w:rsid w:val="00E34280"/>
    <w:rsid w:val="00E34374"/>
    <w:rsid w:val="00E34BE8"/>
    <w:rsid w:val="00E36786"/>
    <w:rsid w:val="00E4186E"/>
    <w:rsid w:val="00E440D1"/>
    <w:rsid w:val="00E4415E"/>
    <w:rsid w:val="00E500E3"/>
    <w:rsid w:val="00E501C7"/>
    <w:rsid w:val="00E505CC"/>
    <w:rsid w:val="00E50E5E"/>
    <w:rsid w:val="00E55E3D"/>
    <w:rsid w:val="00E5744C"/>
    <w:rsid w:val="00E60FC8"/>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87458"/>
    <w:rsid w:val="00E95B5B"/>
    <w:rsid w:val="00E97DA5"/>
    <w:rsid w:val="00EA29B4"/>
    <w:rsid w:val="00EB06BF"/>
    <w:rsid w:val="00EB2BBE"/>
    <w:rsid w:val="00EB30F8"/>
    <w:rsid w:val="00EB3859"/>
    <w:rsid w:val="00EB3C64"/>
    <w:rsid w:val="00EB3F4E"/>
    <w:rsid w:val="00EB4EA8"/>
    <w:rsid w:val="00EB69ED"/>
    <w:rsid w:val="00EC3A6B"/>
    <w:rsid w:val="00EC65BF"/>
    <w:rsid w:val="00EC7580"/>
    <w:rsid w:val="00ED027C"/>
    <w:rsid w:val="00ED07BE"/>
    <w:rsid w:val="00ED17E4"/>
    <w:rsid w:val="00ED3461"/>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3B5D5C6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nhideWhenUsed="0" w:uiPriority="0" w:semiHidden="0" w:name="footnote text"/>
    <w:lsdException w:unhideWhenUsed="0" w:uiPriority="0" w:name="annotation text"/>
    <w:lsdException w:qFormat="1"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semiHidden="0" w:name="footnote reference"/>
    <w:lsdException w:qFormat="1" w:unhideWhenUsed="0"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semiHidden="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pacing w:after="240"/>
      <w:jc w:val="both"/>
    </w:pPr>
    <w:rPr>
      <w:rFonts w:ascii="Arial" w:hAnsi="Arial" w:eastAsia="Times New Roman" w:cs="Arial"/>
      <w:sz w:val="22"/>
      <w:lang w:val="en-GB" w:eastAsia="en-GB" w:bidi="ar-SA"/>
    </w:rPr>
  </w:style>
  <w:style w:type="paragraph" w:styleId="2">
    <w:name w:val="heading 1"/>
    <w:basedOn w:val="1"/>
    <w:next w:val="1"/>
    <w:link w:val="23"/>
    <w:qFormat/>
    <w:uiPriority w:val="0"/>
    <w:pPr>
      <w:spacing w:after="0"/>
      <w:outlineLvl w:val="0"/>
    </w:pPr>
    <w:rPr>
      <w:b/>
      <w:smallCaps/>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9"/>
    <w:semiHidden/>
    <w:uiPriority w:val="0"/>
  </w:style>
  <w:style w:type="paragraph" w:styleId="4">
    <w:name w:val="Body Text"/>
    <w:basedOn w:val="1"/>
    <w:link w:val="31"/>
    <w:qFormat/>
    <w:uiPriority w:val="1"/>
    <w:pPr>
      <w:widowControl w:val="0"/>
      <w:autoSpaceDE/>
      <w:autoSpaceDN/>
      <w:adjustRightInd/>
      <w:spacing w:after="0"/>
      <w:ind w:left="521"/>
      <w:jc w:val="left"/>
    </w:pPr>
    <w:rPr>
      <w:rFonts w:ascii="Cambria" w:hAnsi="Cambria" w:eastAsia="Cambria" w:cstheme="minorBidi"/>
      <w:szCs w:val="22"/>
      <w:lang w:val="en-US" w:eastAsia="en-US"/>
    </w:rPr>
  </w:style>
  <w:style w:type="paragraph" w:styleId="5">
    <w:name w:val="Plain Text"/>
    <w:basedOn w:val="1"/>
    <w:link w:val="27"/>
    <w:unhideWhenUsed/>
    <w:qFormat/>
    <w:uiPriority w:val="0"/>
    <w:pPr>
      <w:autoSpaceDE/>
      <w:autoSpaceDN/>
      <w:adjustRightInd/>
      <w:spacing w:after="0"/>
      <w:jc w:val="left"/>
    </w:pPr>
    <w:rPr>
      <w:rFonts w:ascii="Calibri" w:hAnsi="Calibri" w:eastAsia="Calibri" w:cs="Times New Roman"/>
      <w:szCs w:val="21"/>
      <w:lang w:val="en-US" w:eastAsia="en-US"/>
    </w:rPr>
  </w:style>
  <w:style w:type="paragraph" w:styleId="6">
    <w:name w:val="Balloon Text"/>
    <w:basedOn w:val="1"/>
    <w:semiHidden/>
    <w:qFormat/>
    <w:uiPriority w:val="0"/>
    <w:rPr>
      <w:rFonts w:ascii="Tahoma" w:hAnsi="Tahoma" w:cs="Tahoma"/>
      <w:sz w:val="16"/>
      <w:szCs w:val="16"/>
    </w:rPr>
  </w:style>
  <w:style w:type="paragraph" w:styleId="7">
    <w:name w:val="footer"/>
    <w:basedOn w:val="1"/>
    <w:uiPriority w:val="0"/>
    <w:pPr>
      <w:tabs>
        <w:tab w:val="center" w:pos="4153"/>
        <w:tab w:val="right" w:pos="8306"/>
      </w:tabs>
    </w:pPr>
  </w:style>
  <w:style w:type="paragraph" w:styleId="8">
    <w:name w:val="header"/>
    <w:basedOn w:val="1"/>
    <w:qFormat/>
    <w:uiPriority w:val="0"/>
    <w:pPr>
      <w:tabs>
        <w:tab w:val="center" w:pos="4153"/>
        <w:tab w:val="right" w:pos="8306"/>
      </w:tabs>
    </w:pPr>
  </w:style>
  <w:style w:type="paragraph" w:styleId="9">
    <w:name w:val="Subtitle"/>
    <w:basedOn w:val="1"/>
    <w:next w:val="1"/>
    <w:link w:val="24"/>
    <w:qFormat/>
    <w:uiPriority w:val="0"/>
  </w:style>
  <w:style w:type="paragraph" w:styleId="10">
    <w:name w:val="footnote text"/>
    <w:basedOn w:val="1"/>
    <w:link w:val="26"/>
    <w:uiPriority w:val="0"/>
    <w:pPr>
      <w:spacing w:after="0"/>
    </w:pPr>
  </w:style>
  <w:style w:type="paragraph" w:styleId="11">
    <w:name w:val="Normal (Web)"/>
    <w:basedOn w:val="1"/>
    <w:uiPriority w:val="99"/>
    <w:pPr>
      <w:spacing w:after="190" w:line="190" w:lineRule="atLeast"/>
    </w:pPr>
    <w:rPr>
      <w:sz w:val="15"/>
      <w:szCs w:val="15"/>
      <w:lang w:eastAsia="ko-KR"/>
    </w:rPr>
  </w:style>
  <w:style w:type="paragraph" w:styleId="12">
    <w:name w:val="Title"/>
    <w:basedOn w:val="9"/>
    <w:next w:val="1"/>
    <w:link w:val="25"/>
    <w:qFormat/>
    <w:uiPriority w:val="0"/>
    <w:pPr>
      <w:spacing w:after="0"/>
      <w:contextualSpacing/>
    </w:pPr>
  </w:style>
  <w:style w:type="paragraph" w:styleId="13">
    <w:name w:val="annotation subject"/>
    <w:basedOn w:val="3"/>
    <w:next w:val="3"/>
    <w:semiHidden/>
    <w:uiPriority w:val="0"/>
    <w:rPr>
      <w:b/>
      <w:bCs/>
    </w:rPr>
  </w:style>
  <w:style w:type="table" w:styleId="15">
    <w:name w:val="Table Grid"/>
    <w:basedOn w:val="1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uiPriority w:val="0"/>
  </w:style>
  <w:style w:type="character" w:styleId="18">
    <w:name w:val="annotation reference"/>
    <w:semiHidden/>
    <w:qFormat/>
    <w:uiPriority w:val="0"/>
    <w:rPr>
      <w:sz w:val="16"/>
      <w:szCs w:val="16"/>
    </w:rPr>
  </w:style>
  <w:style w:type="character" w:styleId="19">
    <w:name w:val="footnote reference"/>
    <w:basedOn w:val="16"/>
    <w:uiPriority w:val="0"/>
    <w:rPr>
      <w:vertAlign w:val="superscript"/>
    </w:rPr>
  </w:style>
  <w:style w:type="character" w:customStyle="1" w:styleId="20">
    <w:name w:val="Subtle Emphasis"/>
    <w:qFormat/>
    <w:uiPriority w:val="19"/>
    <w:rPr>
      <w:i/>
      <w:iCs/>
      <w:color w:val="808080"/>
    </w:rPr>
  </w:style>
  <w:style w:type="paragraph" w:styleId="21">
    <w:name w:val="List Paragraph"/>
    <w:basedOn w:val="1"/>
    <w:qFormat/>
    <w:uiPriority w:val="72"/>
    <w:pPr>
      <w:numPr>
        <w:ilvl w:val="0"/>
        <w:numId w:val="1"/>
      </w:numPr>
      <w:autoSpaceDE/>
      <w:autoSpaceDN/>
      <w:adjustRightInd/>
      <w:spacing w:before="240"/>
      <w:ind w:right="389"/>
    </w:pPr>
    <w:rPr>
      <w:color w:val="000000"/>
      <w:lang w:val="en-US" w:eastAsia="en-US"/>
    </w:rPr>
  </w:style>
  <w:style w:type="paragraph" w:styleId="22">
    <w:name w:val="No Spacing"/>
    <w:qFormat/>
    <w:uiPriority w:val="1"/>
    <w:rPr>
      <w:rFonts w:ascii="Times New Roman" w:hAnsi="Times New Roman" w:eastAsia="Times New Roman" w:cs="Times New Roman"/>
      <w:sz w:val="24"/>
      <w:szCs w:val="24"/>
      <w:lang w:val="en-GB" w:eastAsia="en-GB" w:bidi="ar-SA"/>
    </w:rPr>
  </w:style>
  <w:style w:type="character" w:customStyle="1" w:styleId="23">
    <w:name w:val="Heading 1 Char"/>
    <w:basedOn w:val="16"/>
    <w:link w:val="2"/>
    <w:qFormat/>
    <w:uiPriority w:val="0"/>
    <w:rPr>
      <w:rFonts w:ascii="Arial" w:hAnsi="Arial" w:cs="Arial"/>
      <w:b/>
      <w:smallCaps/>
      <w:lang w:val="en-GB" w:eastAsia="en-GB"/>
    </w:rPr>
  </w:style>
  <w:style w:type="character" w:customStyle="1" w:styleId="24">
    <w:name w:val="Subtitle Char"/>
    <w:basedOn w:val="16"/>
    <w:link w:val="9"/>
    <w:uiPriority w:val="0"/>
    <w:rPr>
      <w:rFonts w:ascii="Arial" w:hAnsi="Arial" w:cs="Arial"/>
      <w:lang w:val="en-GB" w:eastAsia="en-GB"/>
    </w:rPr>
  </w:style>
  <w:style w:type="character" w:customStyle="1" w:styleId="25">
    <w:name w:val="Title Char"/>
    <w:basedOn w:val="16"/>
    <w:link w:val="12"/>
    <w:uiPriority w:val="0"/>
    <w:rPr>
      <w:rFonts w:ascii="Arial" w:hAnsi="Arial" w:cs="Arial"/>
      <w:lang w:val="en-GB" w:eastAsia="en-GB"/>
    </w:rPr>
  </w:style>
  <w:style w:type="character" w:customStyle="1" w:styleId="26">
    <w:name w:val="Footnote Text Char"/>
    <w:basedOn w:val="16"/>
    <w:link w:val="10"/>
    <w:qFormat/>
    <w:uiPriority w:val="0"/>
    <w:rPr>
      <w:rFonts w:ascii="Arial" w:hAnsi="Arial" w:cs="Arial"/>
      <w:lang w:val="en-GB" w:eastAsia="en-GB"/>
    </w:rPr>
  </w:style>
  <w:style w:type="character" w:customStyle="1" w:styleId="27">
    <w:name w:val="Plain Text Char"/>
    <w:basedOn w:val="16"/>
    <w:link w:val="5"/>
    <w:uiPriority w:val="0"/>
    <w:rPr>
      <w:rFonts w:ascii="Calibri" w:hAnsi="Calibri" w:eastAsia="Calibri"/>
      <w:sz w:val="22"/>
      <w:szCs w:val="21"/>
    </w:rPr>
  </w:style>
  <w:style w:type="paragraph" w:customStyle="1" w:styleId="28">
    <w:name w:val="Revision"/>
    <w:hidden/>
    <w:semiHidden/>
    <w:uiPriority w:val="99"/>
    <w:rPr>
      <w:rFonts w:ascii="Arial" w:hAnsi="Arial" w:eastAsia="Times New Roman" w:cs="Arial"/>
      <w:lang w:val="en-GB" w:eastAsia="en-GB" w:bidi="ar-SA"/>
    </w:rPr>
  </w:style>
  <w:style w:type="character" w:customStyle="1" w:styleId="29">
    <w:name w:val="Comment Text Char"/>
    <w:basedOn w:val="16"/>
    <w:link w:val="3"/>
    <w:semiHidden/>
    <w:qFormat/>
    <w:uiPriority w:val="0"/>
    <w:rPr>
      <w:rFonts w:ascii="Arial" w:hAnsi="Arial" w:cs="Arial"/>
      <w:lang w:val="en-GB" w:eastAsia="en-GB"/>
    </w:rPr>
  </w:style>
  <w:style w:type="paragraph" w:customStyle="1" w:styleId="30">
    <w:name w:val="Default"/>
    <w:uiPriority w:val="0"/>
    <w:pPr>
      <w:autoSpaceDE w:val="0"/>
      <w:autoSpaceDN w:val="0"/>
      <w:adjustRightInd w:val="0"/>
    </w:pPr>
    <w:rPr>
      <w:rFonts w:ascii="Arial" w:hAnsi="Arial" w:eastAsia="Times New Roman" w:cs="Arial"/>
      <w:color w:val="000000"/>
      <w:sz w:val="24"/>
      <w:szCs w:val="24"/>
      <w:lang w:val="en-US" w:eastAsia="en-US" w:bidi="ar-SA"/>
    </w:rPr>
  </w:style>
  <w:style w:type="character" w:customStyle="1" w:styleId="31">
    <w:name w:val="Body Text Char"/>
    <w:basedOn w:val="16"/>
    <w:link w:val="4"/>
    <w:uiPriority w:val="1"/>
    <w:rPr>
      <w:rFonts w:ascii="Cambria" w:hAnsi="Cambria" w:eastAsia="Cambria" w:cstheme="minorBidi"/>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4.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2A280CD1607546BE54FF41E7981E2F" ma:contentTypeVersion="10" ma:contentTypeDescription="Create a new document." ma:contentTypeScope="" ma:versionID="64ff102b5e09b7c2d854a243ea96a41b">
  <xsd:schema xmlns:xsd="http://www.w3.org/2001/XMLSchema" xmlns:xs="http://www.w3.org/2001/XMLSchema" xmlns:p="http://schemas.microsoft.com/office/2006/metadata/properties" xmlns:ns2="8044000a-ad75-46db-bab8-8365a68c1dcd" xmlns:ns3="8247603e-f11f-4590-adca-6671900efdf2" targetNamespace="http://schemas.microsoft.com/office/2006/metadata/properties" ma:root="true" ma:fieldsID="b05a1a2f3f09e2a79c77441da720152e" ns2:_="" ns3:_="">
    <xsd:import namespace="8044000a-ad75-46db-bab8-8365a68c1dcd"/>
    <xsd:import namespace="8247603e-f11f-4590-adca-6671900efdf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44000a-ad75-46db-bab8-8365a68c1d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47603e-f11f-4590-adca-6671900efdf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6ea7a9a4-fca8-4520-90e5-d35f326697b4}" ma:internalName="TaxCatchAll" ma:showField="CatchAllData" ma:web="8247603e-f11f-4590-adca-6671900efd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044000a-ad75-46db-bab8-8365a68c1dcd">
      <Terms xmlns="http://schemas.microsoft.com/office/infopath/2007/PartnerControls"/>
    </lcf76f155ced4ddcb4097134ff3c332f>
    <TaxCatchAll xmlns="8247603e-f11f-4590-adca-6671900efdf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CD179B-97D4-4F2C-8BE1-FAF77F151853}">
  <ds:schemaRefs/>
</ds:datastoreItem>
</file>

<file path=customXml/itemProps2.xml><?xml version="1.0" encoding="utf-8"?>
<ds:datastoreItem xmlns:ds="http://schemas.openxmlformats.org/officeDocument/2006/customXml" ds:itemID="{671E1E63-2F7B-476E-B2EA-E1B497027C67}">
  <ds:schemaRefs/>
</ds:datastoreItem>
</file>

<file path=customXml/itemProps3.xml><?xml version="1.0" encoding="utf-8"?>
<ds:datastoreItem xmlns:ds="http://schemas.openxmlformats.org/officeDocument/2006/customXml" ds:itemID="{5B1DEE6F-AAF9-4E80-88E5-B97F8C6B4511}">
  <ds:schemaRefs/>
</ds:datastoreItem>
</file>

<file path=customXml/itemProps4.xml><?xml version="1.0" encoding="utf-8"?>
<ds:datastoreItem xmlns:ds="http://schemas.openxmlformats.org/officeDocument/2006/customXml" ds:itemID="{3B4075BA-3708-4CD5-9526-842A79997B17}">
  <ds:schemaRefs/>
</ds:datastoreItem>
</file>

<file path=docProps/app.xml><?xml version="1.0" encoding="utf-8"?>
<Properties xmlns="http://schemas.openxmlformats.org/officeDocument/2006/extended-properties" xmlns:vt="http://schemas.openxmlformats.org/officeDocument/2006/docPropsVTypes">
  <Template>Normal.dotm</Template>
  <Company>IOM</Company>
  <Pages>4</Pages>
  <Words>822</Words>
  <Characters>5254</Characters>
  <Lines>43</Lines>
  <Paragraphs>12</Paragraphs>
  <TotalTime>6</TotalTime>
  <ScaleCrop>false</ScaleCrop>
  <LinksUpToDate>false</LinksUpToDate>
  <CharactersWithSpaces>6064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2023-02-13T15:15:00Z</dcterms:created>
  <dc:creator>gchernikov</dc:creator>
  <cp:lastModifiedBy>Yilin HOU</cp:lastModifiedBy>
  <cp:lastPrinted>2012-02-09T06:27:00Z</cp:lastPrinted>
  <dcterms:modified xsi:type="dcterms:W3CDTF">2023-04-13T06:06:32Z</dcterms:modified>
  <dc:title>I</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GrammarlyDocumentId">
    <vt:lpwstr>4dcf76655b3f8d56a45ee71b1e9cfeb5b9f68cffcaf72b66ff0f25c2e608517e</vt:lpwstr>
  </property>
  <property fmtid="{D5CDD505-2E9C-101B-9397-08002B2CF9AE}" pid="24" name="KSOProductBuildVer">
    <vt:lpwstr>2052-11.8.2.10972</vt:lpwstr>
  </property>
  <property fmtid="{D5CDD505-2E9C-101B-9397-08002B2CF9AE}" pid="25" name="ICV">
    <vt:lpwstr>8B2F62049F2B4F49871BB1404D960409</vt:lpwstr>
  </property>
</Properties>
</file>