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58" w:lineRule="exact"/>
        <w:rPr>
          <w:rFonts w:hint="eastAsia" w:ascii="黑体" w:hAnsi="黑体" w:eastAsia="黑体" w:cs="华文中宋"/>
          <w:kern w:val="0"/>
          <w:sz w:val="32"/>
          <w:szCs w:val="32"/>
        </w:rPr>
      </w:pPr>
      <w:r>
        <w:rPr>
          <w:rFonts w:hint="eastAsia" w:ascii="黑体" w:hAnsi="黑体" w:eastAsia="黑体" w:cs="华文中宋"/>
          <w:kern w:val="0"/>
          <w:sz w:val="32"/>
          <w:szCs w:val="32"/>
        </w:rPr>
        <w:t>附件</w:t>
      </w:r>
      <w:r>
        <w:rPr>
          <w:rFonts w:ascii="黑体" w:hAnsi="黑体" w:eastAsia="黑体" w:cs="华文中宋"/>
          <w:kern w:val="0"/>
          <w:sz w:val="32"/>
          <w:szCs w:val="32"/>
        </w:rPr>
        <w:t>1</w:t>
      </w:r>
      <w:r>
        <w:rPr>
          <w:rFonts w:hint="eastAsia" w:ascii="黑体" w:hAnsi="黑体" w:eastAsia="黑体" w:cs="华文中宋"/>
          <w:kern w:val="0"/>
          <w:sz w:val="32"/>
          <w:szCs w:val="32"/>
        </w:rPr>
        <w:t>-</w:t>
      </w:r>
      <w:r>
        <w:rPr>
          <w:rFonts w:ascii="黑体" w:hAnsi="黑体" w:eastAsia="黑体" w:cs="华文中宋"/>
          <w:kern w:val="0"/>
          <w:sz w:val="32"/>
          <w:szCs w:val="32"/>
        </w:rPr>
        <w:t>1</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2022年度黑龙江省高等教育教学改革研究重点委托项目指南</w:t>
      </w:r>
    </w:p>
    <w:p>
      <w:pPr>
        <w:spacing w:line="560" w:lineRule="exact"/>
        <w:ind w:firstLine="640" w:firstLineChars="200"/>
        <w:rPr>
          <w:rFonts w:ascii="黑体" w:hAnsi="黑体" w:eastAsia="黑体" w:cs="黑体"/>
          <w:sz w:val="32"/>
          <w:szCs w:val="32"/>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一、高等教育（本研通用）</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（一）立德树人根本任务</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扎实推进习近平新时代中国特色社会主义思想和党的二十大精神进高校进课堂进头脑，有机融入大学各类专业课程教育教学的研究与实践。</w:t>
      </w:r>
    </w:p>
    <w:p>
      <w:pPr>
        <w:spacing w:line="56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基于不同教育类型、不同人才培养定位、不同学科专业和课程特点，将课堂教学、实践教学、科研活动等与思想政治教育有机融合的课程思政、导学思政建设研究与实践。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深入挖掘各类课程蕴含的思政教育元素，厘清思政元素与专业内容关系，积极推进</w:t>
      </w:r>
      <w:r>
        <w:rPr>
          <w:rFonts w:hint="eastAsia" w:ascii="仿宋_GB2312" w:hAnsi="仿宋_GB2312" w:eastAsia="仿宋_GB2312" w:cs="仿宋_GB2312"/>
          <w:sz w:val="32"/>
          <w:szCs w:val="32"/>
        </w:rPr>
        <w:t>专业思政建设的探索与实践。</w:t>
      </w:r>
    </w:p>
    <w:p>
      <w:pPr>
        <w:spacing w:line="56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专业课与思政课教师合作平台、集体教研制度、课程思政课程“双负责人制”“结对子”机制的探索与实践。</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大学生体育、美育、劳动教育模式研究与实践。</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（二）学科专业建设</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推进黑龙江省高水平大学和优势特色学科（省“双一流”）建设，凝练一流学科方向，实现优势学科建设新突破，带动学校整体办学水平提升的有效模式研究与实践。</w:t>
      </w:r>
    </w:p>
    <w:p>
      <w:pPr>
        <w:spacing w:line="56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推进黑龙江省特色应用型本科高校和特色应用型专业集群（省“双特”）建设，围绕“4</w:t>
      </w:r>
      <w:r>
        <w:rPr>
          <w:rFonts w:ascii="仿宋_GB2312" w:hAnsi="仿宋_GB2312" w:eastAsia="仿宋_GB2312" w:cs="仿宋_GB2312"/>
          <w:color w:val="000000"/>
          <w:sz w:val="32"/>
          <w:szCs w:val="32"/>
        </w:rPr>
        <w:t>567</w:t>
      </w:r>
      <w:r>
        <w:rPr>
          <w:rFonts w:hint="eastAsia" w:ascii="仿宋_GB2312" w:hAnsi="仿宋_GB2312" w:eastAsia="仿宋_GB2312" w:cs="仿宋_GB2312"/>
          <w:color w:val="000000"/>
          <w:sz w:val="32"/>
          <w:szCs w:val="32"/>
        </w:rPr>
        <w:t>”现代产业体系打造应用型本科专业集群，服务产业振兴有效模式研究与实践。</w:t>
      </w:r>
    </w:p>
    <w:p>
      <w:pPr>
        <w:spacing w:line="56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基于学术型、应用型人才培养定位，加强学科与专业紧密衔接，推动学科专业一体化建设，构建高水平学科专业体系，开展本科大类招生、大类培养模式的研究与实践。</w:t>
      </w:r>
    </w:p>
    <w:p>
      <w:pPr>
        <w:spacing w:line="56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面向学术前沿、国家战略和区域经济社会发展需求，探索学科专业动态调整机制，加快新兴交叉学科专业布局、传统学科专业改造升级、部分学科专业淘汰的研究与实践。</w:t>
      </w:r>
    </w:p>
    <w:p>
      <w:pPr>
        <w:spacing w:line="560" w:lineRule="exact"/>
        <w:ind w:firstLine="640" w:firstLineChars="200"/>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聚焦提升人才培养能力核心点，深化学科专业内涵建设和方向凝练，打造高水平创新团队与师资队伍、开展有组织的科学研究、构建高层级科研支撑平台、开展有针对性的国际交流与合作等各项事业发展联动机制的研究与实践。</w:t>
      </w:r>
    </w:p>
    <w:p>
      <w:pPr>
        <w:spacing w:line="560" w:lineRule="exact"/>
        <w:ind w:firstLine="643" w:firstLineChars="200"/>
        <w:rPr>
          <w:rFonts w:ascii="楷体" w:hAnsi="楷体" w:eastAsia="楷体" w:cs="楷体"/>
          <w:b/>
          <w:bCs/>
          <w:sz w:val="32"/>
          <w:szCs w:val="32"/>
          <w:highlight w:val="yellow"/>
        </w:rPr>
      </w:pPr>
      <w:r>
        <w:rPr>
          <w:rFonts w:hint="eastAsia" w:ascii="楷体" w:hAnsi="楷体" w:eastAsia="楷体" w:cs="楷体"/>
          <w:b/>
          <w:bCs/>
          <w:sz w:val="32"/>
          <w:szCs w:val="32"/>
        </w:rPr>
        <w:t>（三）信息技术与教育教学深度融合</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基于在线课程的课堂教学模式创新研究与实践。研究同步异步多态混合、现场-远程融合、大班小班混合、研讨式探究式翻转课堂、大规模因材施教等新型教学模式，研究学生认知和学习行为规律并形成解决方案。</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基于虚拟教研室、虚拟教学共同体的跨校跨专业协同教研模式创新与实践。研究多专业协同教学改革、多校协同共建共享课程资源等基于互联网平台新型教学研究模式。</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智慧学习空间/环境建设与实践。建设智慧教室、虚拟仿真实验室、智慧图书馆等智慧学习空间，并研究基于此的学生学习行为规律、精准画像、学习路径构建、学习成效评价与学习资源服务等新模式。</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 xml:space="preserve">高校新型智能化教学服务平台构建与实践。以课堂与实验教学服务为中心，建立教学场景与教学数据的自动化获取平台，并基于获取的场景和数据开展课堂教学效果自动化评价模式研究，建立基于数据的课程评价指标体系。 </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面向智慧教育的课程资源建设。研究课程相关的知识图谱，建设多类别的课程资源包括新形态教材、在线课程和在线题库等，基于知识图谱的课程资源组织与服务，基于知识图谱的学生学习成效评价方法等。</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二、本科教育教学</w:t>
      </w:r>
    </w:p>
    <w:p>
      <w:pPr>
        <w:spacing w:line="560" w:lineRule="exact"/>
        <w:ind w:firstLine="643" w:firstLineChars="200"/>
        <w:rPr>
          <w:rFonts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（一）新工科建设</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1.新工科内涵、特征、规律、发展趋势与工程教育创新改革理念的研究</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研究国内外工程发展现状及规律，跟踪分析国内新工建设的改革进展和经验，进一步提炼不同类型院校新工科人才培养的核心目标，明确其人才培养的重点，难点和主要任务。</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.服务龙江区域经济社会发展的新工科专业前瞻性和战略性布局研究</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研究围绕“六个强省”紧密相关的现代产业领域和未来发展趋势，动态调整工科专业结构布局与龙江经济发展的适配性的问题，提出具有可操作性的建议和方案。</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.传统工科专业改造升级、新兴/新生工科专业建设探索与实践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研究新技术和新产业发展趋势，探索课程体系重塑、课程内容重构改革，强化学科交叉与跨界整合，深化高新技术与工科专业的知识、能力、素质融合，形成工科专业建设新路径。</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.多学科交叉融合的创新型工程教育组织模式探索与实践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研究技术发展规律和产业发展特征，探寻工程人才培养需求的变化规律；研究多学科交叉的教学组织模式、学科专业结构重组、产业导向的跨学科交叉人才培养机制等。</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 xml:space="preserve">. </w:t>
      </w:r>
      <w:bookmarkStart w:id="0" w:name="_Hlk119406552"/>
      <w:r>
        <w:rPr>
          <w:rFonts w:hint="eastAsia" w:ascii="仿宋_GB2312" w:hAnsi="仿宋_GB2312" w:eastAsia="仿宋_GB2312" w:cs="仿宋_GB2312"/>
          <w:color w:val="000000" w:themeColor="text1"/>
          <w:sz w:val="32"/>
          <w:szCs w:val="32"/>
          <w14:textFill>
            <w14:solidFill>
              <w14:schemeClr w14:val="tx1"/>
            </w14:solidFill>
          </w14:textFill>
        </w:rPr>
        <w:t>未来技术学院、现代产业学院</w:t>
      </w:r>
      <w:bookmarkEnd w:id="0"/>
      <w:r>
        <w:rPr>
          <w:rFonts w:hint="eastAsia" w:ascii="仿宋_GB2312" w:hAnsi="仿宋_GB2312" w:eastAsia="仿宋_GB2312" w:cs="仿宋_GB2312"/>
          <w:color w:val="000000" w:themeColor="text1"/>
          <w:sz w:val="32"/>
          <w:szCs w:val="32"/>
          <w14:textFill>
            <w14:solidFill>
              <w14:schemeClr w14:val="tx1"/>
            </w14:solidFill>
          </w14:textFill>
        </w:rPr>
        <w:t>、特色软件学院、网络安全学院、微电子学院、储能学院、“双碳”学院等专业特色学院和人才培养试验区建设探索与实践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研究未来技术学院、现代产业学院及专业特色学院的内涵要素和功能特征，开展理论建设研究，探索学院的特色发展和人才培养路径。研究学院的创新管理体制与运行机制。</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.新工科教育师资体系建设研究</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探索高校工科教师工程能力提升路径和机制，建立工科教师教育教学能力评价标准，探索将评价结果融入教师考核制度的路径和机制，探索形成新工科师资体系建设范式。</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7</w:t>
      </w:r>
      <w:r>
        <w:rPr>
          <w:rFonts w:hint="eastAsia" w:ascii="仿宋_GB2312" w:hAnsi="仿宋_GB2312" w:eastAsia="仿宋_GB2312" w:cs="仿宋_GB2312"/>
          <w:color w:val="000000" w:themeColor="text1"/>
          <w:sz w:val="32"/>
          <w:szCs w:val="32"/>
          <w14:textFill>
            <w14:solidFill>
              <w14:schemeClr w14:val="tx1"/>
            </w14:solidFill>
          </w14:textFill>
        </w:rPr>
        <w:t>.产教融合、校企合作体制机制、协同育人模式探索与实践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研究集聚龙江经济和行业产业优质工程教育资源，探索 产教融合、校企合作体制机制创新与实践。探索构建新工科协同育人实践创新平台。探索毕业设计创新团队模式改革。</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（二）新医科建设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1.新医科建设的理念、模式创新与医学人才培养模式改革创新。</w:t>
      </w:r>
      <w:r>
        <w:rPr>
          <w:rFonts w:hint="eastAsia" w:ascii="仿宋" w:hAnsi="仿宋" w:eastAsia="仿宋" w:cs="仿宋"/>
          <w:sz w:val="32"/>
          <w:szCs w:val="32"/>
        </w:rPr>
        <w:t>界定新医科人才的知识、技能和素质要求，整合办学资源，创新人才培养路径。探索传统医学专业与新医科建设的衔接与转变。</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.“医学+X”交叉融合教育体系和复合型人才培养的路径探索。</w:t>
      </w:r>
      <w:r>
        <w:rPr>
          <w:rFonts w:hint="eastAsia" w:ascii="仿宋" w:hAnsi="仿宋" w:eastAsia="仿宋" w:cs="仿宋"/>
          <w:sz w:val="32"/>
          <w:szCs w:val="32"/>
        </w:rPr>
        <w:t>包括招生选才、学制设置、培养模式、校际合作、跨国教育、学位授予等方面的理论与实践研究。</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.新医科课程体系建设研究。</w:t>
      </w:r>
      <w:r>
        <w:rPr>
          <w:rFonts w:hint="eastAsia" w:ascii="仿宋" w:hAnsi="仿宋" w:eastAsia="仿宋" w:cs="仿宋"/>
          <w:sz w:val="32"/>
          <w:szCs w:val="32"/>
        </w:rPr>
        <w:t>研究新医科与传统学科专业对知识、技能与素质要求上的差异，重点课程体系对有效支撑复合型人才培养的结果。</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.新医科建设与公共卫生人才培养研究与实践。</w:t>
      </w:r>
      <w:r>
        <w:rPr>
          <w:rFonts w:hint="eastAsia" w:ascii="仿宋" w:hAnsi="仿宋" w:eastAsia="仿宋" w:cs="仿宋"/>
          <w:sz w:val="32"/>
          <w:szCs w:val="32"/>
        </w:rPr>
        <w:t>紧扣国家公共卫生和健康安全重大需求，完善高水平公共卫生人才培养体系研究与实践。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.临床教师评价激励机制改革。</w:t>
      </w:r>
      <w:r>
        <w:rPr>
          <w:rFonts w:hint="eastAsia" w:ascii="仿宋" w:hAnsi="仿宋" w:eastAsia="仿宋" w:cs="仿宋"/>
          <w:sz w:val="32"/>
          <w:szCs w:val="32"/>
        </w:rPr>
        <w:t>研究制定强化临床教师师德师风、育人能力和教学业绩的考核办法，构建符合医学教育特点的临床教师评价激励制度体系。</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.地方、区域新医科教育联盟建设及实践。</w:t>
      </w:r>
      <w:r>
        <w:rPr>
          <w:rFonts w:hint="eastAsia" w:ascii="仿宋" w:hAnsi="仿宋" w:eastAsia="仿宋" w:cs="仿宋"/>
          <w:sz w:val="32"/>
          <w:szCs w:val="32"/>
        </w:rPr>
        <w:t>新医科教育联盟建设中国家政策、法律法规、相关制度研究与应用；教育治理机制和模式、质量标准和质量保障体系构建等。</w:t>
      </w:r>
    </w:p>
    <w:p>
      <w:pPr>
        <w:spacing w:line="560" w:lineRule="exact"/>
        <w:ind w:firstLine="640" w:firstLineChars="200"/>
        <w:rPr>
          <w:rFonts w:ascii="仿宋" w:hAnsi="仿宋" w:eastAsia="仿宋" w:cs="仿宋"/>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.新医科实践教育体系与实践平台构建。</w:t>
      </w:r>
      <w:r>
        <w:rPr>
          <w:rFonts w:hint="eastAsia" w:ascii="仿宋" w:hAnsi="仿宋" w:eastAsia="仿宋" w:cs="仿宋"/>
          <w:sz w:val="32"/>
          <w:szCs w:val="32"/>
        </w:rPr>
        <w:t>深入分析医科学生临床实践能力的现状与问题，推进基于职业胜任力导向的医科学生临床实践能力培养和评价体系建设。</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（三）新农科建设</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1.知农爱农新型人才需求和新农科背景下农林人才核心能力体系研究</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以岗位胜任力为导向，开展知农爱农新型人才需求分析预测，研究新型农林人才必须具备的知识能力素质，提出新农科人才核心能力框架。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2.农林高校耕读教育改革与实践</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研究新时代农林高校耕读教育新内涵、新模式，探索开展“大国三农”“耕读龙江”“生态龙江”等农林特色通识教育课程体系建设和耕读教育实践基地建设。</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3.新兴农林学科专业建设和传统农林学科专业改造升级的探索与实践</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研究优化涉农学科专业结构，</w:t>
      </w:r>
      <w:r>
        <w:rPr>
          <w:rFonts w:hint="eastAsia" w:ascii="仿宋_GB2312" w:hAnsi="仿宋_GB2312" w:eastAsia="仿宋_GB2312" w:cs="仿宋_GB2312"/>
          <w:bCs/>
          <w:sz w:val="32"/>
          <w:szCs w:val="32"/>
        </w:rPr>
        <w:t>依据新农科引导性目录开展新兴涉农专业的改革实践，探索利用现代生物技术、信息技术、工程技术改造提升传统涉农专业实施路径。</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4.新农科课程教材体系建设与教学改革</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探索具有农林特色的通识课程体系和交叉融合的专业核心课程体系建设，研究新兴涉农专业教材和新形态教材建设，推进农林教育教学与现代信息技术的深度融合。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5.面向新农科的实践教育体系构建</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比较研究国内外、省内外农林实践教育教学体系，调研分析农科学生实践能力培养现状与问题，构建面向新农科的实践教育教学体系，研究提出农林实践教学基地建设标准。</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6.产教、科教协同育人探索与实践</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调研分析产教融合、科教协同育人现状与问题，结合黑龙江省农业强省战略，探索高校与农林企业合作育人新模式，研究农林高校与农（林）科院开展战略合作新模式。</w:t>
      </w:r>
    </w:p>
    <w:p>
      <w:pPr>
        <w:spacing w:line="560" w:lineRule="exact"/>
        <w:ind w:firstLine="643" w:firstLineChars="200"/>
        <w:rPr>
          <w:rFonts w:ascii="黑体" w:hAnsi="黑体" w:eastAsia="黑体" w:cs="黑体"/>
          <w:sz w:val="32"/>
          <w:szCs w:val="32"/>
        </w:rPr>
      </w:pPr>
      <w:r>
        <w:rPr>
          <w:rFonts w:hint="eastAsia" w:ascii="楷体" w:hAnsi="楷体" w:eastAsia="楷体" w:cs="楷体"/>
          <w:b/>
          <w:bCs/>
          <w:sz w:val="32"/>
          <w:szCs w:val="32"/>
        </w:rPr>
        <w:t>（四）新文科建设</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1.新文科建设改革、发展和卓越文科人才培养创新与实践</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研究提出各专业类新文科建设人才培养目标、知识能力素质要求及实现途径。探索卓越文科人才培养的教育理念、目标定位、培养模式、课程体系、教学组织形式等改革创新。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2.新文科学科专业建设探索与实践</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lang w:val="zh-CN"/>
        </w:rPr>
        <w:t>研究提出新兴文科学科专业的增长点和发展方向，</w:t>
      </w:r>
      <w:r>
        <w:rPr>
          <w:rFonts w:hint="eastAsia" w:ascii="仿宋_GB2312" w:hAnsi="仿宋_GB2312" w:eastAsia="仿宋_GB2312" w:cs="仿宋_GB2312"/>
          <w:sz w:val="32"/>
          <w:szCs w:val="32"/>
        </w:rPr>
        <w:t>探索推进文科与理工农医学科专业的深度交叉融合，利用人工智能、大数据等现代信息技术改造提升传统文科学科专业。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3.新文科课程体系建设探索与实践</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探索建设跨学科、多学科交叉融合新文科课程体系，研究新文科背景下各专业类通识教育课程、专业核心课程和一流课程的教学目标、教学设计、教学内容、教学评价。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4.新文科背景下课堂教学质量提升改革与实践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探索课程教育教学理念创新、课程创新、教学方式方法创新和技术手段创新，实施“以学为中心、以教为主导”的课堂教学，提供丰富的教学资源和灵活的学习路径。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5.新文科背景下专业与课程教学评价研究与实践</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围绕“课程目标-毕业要求-培养目标”达成主线，构建基于产出的学习评价体系和基于评价的持续改进机制，建设基于证据的教学评价文化。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6.新文科背景下产教协同育人探索与实践</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调研分析各文科类学科专业产学研协同育人机制的现状与问题，探索高校与有关部门、科研院所、行业企业协同培养新时代文科人才的新机制。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7.新文科背景下教师教学学术研究范式探索与实践</w:t>
      </w:r>
      <w:r>
        <w:rPr>
          <w:rFonts w:hint="eastAsia" w:ascii="仿宋_GB2312" w:hAnsi="仿宋_GB2312" w:eastAsia="仿宋_GB2312" w:cs="仿宋_GB2312"/>
          <w:bCs/>
          <w:sz w:val="32"/>
          <w:szCs w:val="32"/>
          <w:lang w:eastAsia="zh-CN"/>
        </w:rPr>
        <w:t>。</w:t>
      </w:r>
      <w:bookmarkStart w:id="1" w:name="_GoBack"/>
      <w:bookmarkEnd w:id="1"/>
      <w:r>
        <w:rPr>
          <w:rFonts w:hint="eastAsia" w:ascii="仿宋_GB2312" w:hAnsi="仿宋_GB2312" w:eastAsia="仿宋_GB2312" w:cs="仿宋_GB2312"/>
          <w:sz w:val="32"/>
          <w:szCs w:val="32"/>
        </w:rPr>
        <w:t>研究建立新文科教学学术研究共同体，对课堂和课堂外影响新文科教育质量和教学有效性的因素进行分析，探索新文科背景下学科和专业教育教学新范式。</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（五）教师教学能力提升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教师、特别是青年教师教学和专业素养能力提升模式创新的研究与实践</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.教师跨界知识整合能力、课堂教学设计与组织实施能力、现代信息技术手段运用能力提升路径的研究与实践</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.高校“双师型”教师队伍建设研究与实践</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.基层教学组织与高水平教学团队建设、教学名师培育的研究与实践</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.高校教师教学发展中心建设与运行机制研究与实践</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 xml:space="preserve"> </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（六）创新创业教育改革</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ascii="仿宋_GB2312" w:hAnsi="仿宋_GB2312" w:eastAsia="仿宋_GB2312" w:cs="仿宋_GB2312"/>
          <w:sz w:val="32"/>
          <w:szCs w:val="32"/>
          <w:lang w:val="en-GB"/>
        </w:rPr>
        <w:t>.</w:t>
      </w:r>
      <w:r>
        <w:rPr>
          <w:rFonts w:ascii="仿宋_GB2312" w:hAnsi="仿宋_GB2312" w:eastAsia="仿宋_GB2312" w:cs="仿宋_GB2312"/>
          <w:sz w:val="32"/>
          <w:szCs w:val="32"/>
        </w:rPr>
        <w:t>以学生为中心的创新创业教育工作体系探索研究</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ascii="仿宋_GB2312" w:hAnsi="仿宋_GB2312" w:eastAsia="仿宋_GB2312" w:cs="仿宋_GB2312"/>
          <w:sz w:val="32"/>
          <w:szCs w:val="32"/>
          <w:lang w:val="en-GB"/>
        </w:rPr>
        <w:t>.</w:t>
      </w:r>
      <w:r>
        <w:rPr>
          <w:rFonts w:hint="eastAsia" w:ascii="仿宋_GB2312" w:hAnsi="仿宋_GB2312" w:eastAsia="仿宋_GB2312" w:cs="仿宋_GB2312"/>
          <w:sz w:val="32"/>
          <w:szCs w:val="32"/>
          <w:lang w:val="en-GB"/>
        </w:rPr>
        <w:t>深化</w:t>
      </w:r>
      <w:r>
        <w:rPr>
          <w:rFonts w:ascii="仿宋_GB2312" w:hAnsi="仿宋_GB2312" w:eastAsia="仿宋_GB2312" w:cs="仿宋_GB2312"/>
          <w:sz w:val="32"/>
          <w:szCs w:val="32"/>
        </w:rPr>
        <w:t>创新创业教育</w:t>
      </w:r>
      <w:r>
        <w:rPr>
          <w:rFonts w:hint="eastAsia" w:ascii="仿宋_GB2312" w:hAnsi="仿宋_GB2312" w:eastAsia="仿宋_GB2312" w:cs="仿宋_GB2312"/>
          <w:sz w:val="32"/>
          <w:szCs w:val="32"/>
        </w:rPr>
        <w:t>改革向教育内涵推进，</w:t>
      </w:r>
      <w:r>
        <w:rPr>
          <w:rFonts w:ascii="仿宋_GB2312" w:hAnsi="仿宋_GB2312" w:eastAsia="仿宋_GB2312" w:cs="仿宋_GB2312"/>
          <w:sz w:val="32"/>
          <w:szCs w:val="32"/>
        </w:rPr>
        <w:t>融入人才培养全过程的研究</w:t>
      </w:r>
      <w:r>
        <w:rPr>
          <w:rFonts w:hint="eastAsia" w:ascii="仿宋_GB2312" w:hAnsi="仿宋_GB2312" w:eastAsia="仿宋_GB2312" w:cs="仿宋_GB2312"/>
          <w:sz w:val="32"/>
          <w:szCs w:val="32"/>
        </w:rPr>
        <w:t>与实践。</w:t>
      </w:r>
      <w:r>
        <w:rPr>
          <w:rFonts w:ascii="仿宋_GB2312" w:hAnsi="仿宋_GB2312" w:eastAsia="仿宋_GB2312" w:cs="仿宋_GB2312"/>
          <w:sz w:val="32"/>
          <w:szCs w:val="32"/>
        </w:rPr>
        <w:tab/>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ascii="仿宋_GB2312" w:hAnsi="仿宋_GB2312" w:eastAsia="仿宋_GB2312" w:cs="仿宋_GB2312"/>
          <w:sz w:val="32"/>
          <w:szCs w:val="32"/>
          <w:lang w:val="en-GB"/>
        </w:rPr>
        <w:t>.</w:t>
      </w:r>
      <w:r>
        <w:rPr>
          <w:rFonts w:ascii="仿宋_GB2312" w:hAnsi="仿宋_GB2312" w:eastAsia="仿宋_GB2312" w:cs="仿宋_GB2312"/>
          <w:sz w:val="32"/>
          <w:szCs w:val="32"/>
        </w:rPr>
        <w:t>创新创业教育</w:t>
      </w:r>
      <w:r>
        <w:rPr>
          <w:rFonts w:hint="eastAsia" w:ascii="仿宋_GB2312" w:hAnsi="仿宋_GB2312" w:eastAsia="仿宋_GB2312" w:cs="仿宋_GB2312"/>
          <w:sz w:val="32"/>
          <w:szCs w:val="32"/>
        </w:rPr>
        <w:t>教师、企业导师队伍</w:t>
      </w:r>
      <w:r>
        <w:rPr>
          <w:rFonts w:ascii="仿宋_GB2312" w:hAnsi="仿宋_GB2312" w:eastAsia="仿宋_GB2312" w:cs="仿宋_GB2312"/>
          <w:sz w:val="32"/>
          <w:szCs w:val="32"/>
        </w:rPr>
        <w:t>建设研究</w:t>
      </w:r>
      <w:r>
        <w:rPr>
          <w:rFonts w:hint="eastAsia" w:ascii="仿宋_GB2312" w:hAnsi="仿宋_GB2312" w:eastAsia="仿宋_GB2312" w:cs="仿宋_GB2312"/>
          <w:sz w:val="32"/>
          <w:szCs w:val="32"/>
        </w:rPr>
        <w:t>与实践。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创新创业促进大学生就业创业和高校科技成果转化模式与路径的研究。</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ascii="仿宋_GB2312" w:hAnsi="仿宋_GB2312" w:eastAsia="仿宋_GB2312" w:cs="仿宋_GB2312"/>
          <w:sz w:val="32"/>
          <w:szCs w:val="32"/>
          <w:lang w:val="en-GB"/>
        </w:rPr>
        <w:t>.</w:t>
      </w:r>
      <w:r>
        <w:rPr>
          <w:rFonts w:ascii="仿宋_GB2312" w:hAnsi="仿宋_GB2312" w:eastAsia="仿宋_GB2312" w:cs="仿宋_GB2312"/>
          <w:sz w:val="32"/>
          <w:szCs w:val="32"/>
        </w:rPr>
        <w:t>大学生创新创业教育</w:t>
      </w:r>
      <w:r>
        <w:rPr>
          <w:rFonts w:hint="eastAsia" w:ascii="仿宋_GB2312" w:hAnsi="仿宋_GB2312" w:eastAsia="仿宋_GB2312" w:cs="仿宋_GB2312"/>
          <w:sz w:val="32"/>
          <w:szCs w:val="32"/>
        </w:rPr>
        <w:t>改革、双创“课赛一体”、双创成果转化等</w:t>
      </w:r>
      <w:r>
        <w:rPr>
          <w:rFonts w:ascii="仿宋_GB2312" w:hAnsi="仿宋_GB2312" w:eastAsia="仿宋_GB2312" w:cs="仿宋_GB2312"/>
          <w:sz w:val="32"/>
          <w:szCs w:val="32"/>
        </w:rPr>
        <w:t>评估指标研究</w:t>
      </w:r>
      <w:r>
        <w:rPr>
          <w:rFonts w:hint="eastAsia" w:ascii="仿宋_GB2312" w:hAnsi="仿宋_GB2312" w:eastAsia="仿宋_GB2312" w:cs="仿宋_GB2312"/>
          <w:sz w:val="32"/>
          <w:szCs w:val="32"/>
        </w:rPr>
        <w:t>。</w:t>
      </w:r>
    </w:p>
    <w:p>
      <w:pPr>
        <w:spacing w:line="560" w:lineRule="exact"/>
        <w:ind w:firstLine="640" w:firstLineChars="200"/>
        <w:rPr>
          <w:rFonts w:ascii="Times New Roman" w:hAnsi="Times New Roman" w:eastAsia="仿宋_GB2312" w:cs="Times New Roman"/>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创新创业教育实践教学体系研究</w:t>
      </w:r>
      <w:r>
        <w:rPr>
          <w:rFonts w:ascii="Times New Roman" w:hAnsi="Times New Roman" w:eastAsia="仿宋_GB2312" w:cs="Times New Roman"/>
          <w:sz w:val="32"/>
          <w:szCs w:val="32"/>
        </w:rPr>
        <w:tab/>
      </w:r>
      <w:r>
        <w:rPr>
          <w:rFonts w:hint="eastAsia" w:ascii="Times New Roman" w:hAnsi="Times New Roman" w:eastAsia="仿宋_GB2312" w:cs="Times New Roman"/>
          <w:sz w:val="32"/>
          <w:szCs w:val="32"/>
        </w:rPr>
        <w:t>。</w:t>
      </w:r>
    </w:p>
    <w:p>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（七）本科教学质量监控体系建设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本科专业建设、课程建设、课堂教学、实践教学质量标准、质量监控、质量评价体系和过程管理的研究与实践。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高校教学管理重心下移和教学质量校内保障体系研究与实践。</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三、学位与研究生教育</w:t>
      </w:r>
    </w:p>
    <w:p>
      <w:pPr>
        <w:spacing w:line="52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（一）关于研究生教育分类培养模式创新</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专业学位研究生教育标准的研究与探索。研究学术学位与专业学位的本质区别，突破学术学位研究生教育发展理念和思路的传统思维定式，促进专业学位研究生教育标准构建，探索实施“专业学位+能力拓展”育人模式，研究专业学位研究生教育“职业性”与“学术性”的融合及协调发展。</w:t>
      </w:r>
    </w:p>
    <w:p>
      <w:pPr>
        <w:spacing w:line="520" w:lineRule="exact"/>
        <w:ind w:firstLine="640" w:firstLineChars="200"/>
        <w:rPr>
          <w:rFonts w:ascii="仿宋" w:eastAsia="仿宋" w:cs="仿宋"/>
          <w:kern w:val="0"/>
          <w:sz w:val="32"/>
          <w:szCs w:val="32"/>
          <w:lang w:bidi="ar"/>
        </w:rPr>
      </w:pPr>
      <w:r>
        <w:rPr>
          <w:rFonts w:hint="eastAsia" w:ascii="仿宋_GB2312" w:hAnsi="仿宋_GB2312" w:eastAsia="仿宋_GB2312" w:cs="仿宋_GB2312"/>
          <w:sz w:val="32"/>
          <w:szCs w:val="32"/>
        </w:rPr>
        <w:t>2.学术学位论文与专业学位论文分类评价的研究与探索。</w:t>
      </w:r>
      <w:r>
        <w:rPr>
          <w:rFonts w:hint="eastAsia" w:ascii="仿宋" w:eastAsia="仿宋" w:cs="仿宋"/>
          <w:kern w:val="0"/>
          <w:sz w:val="32"/>
          <w:szCs w:val="32"/>
          <w:lang w:bidi="ar"/>
        </w:rPr>
        <w:t>倡导学位论文分类评价，探索构建学术导向和应用导向分类的评价指标体系，研究形成学术学位论文和专业学位论文的评审及抽检办法，推动学术型和应用型人才分类培养，创新研究生论文评价机制。</w:t>
      </w:r>
    </w:p>
    <w:p>
      <w:pPr>
        <w:spacing w:line="520" w:lineRule="exact"/>
        <w:ind w:firstLine="640" w:firstLineChars="200"/>
        <w:rPr>
          <w:rFonts w:ascii="Arial" w:hAnsi="Arial" w:cs="Arial"/>
          <w:sz w:val="27"/>
          <w:szCs w:val="27"/>
          <w:shd w:val="clear" w:color="auto" w:fill="FFFFFF"/>
        </w:rPr>
      </w:pPr>
      <w:r>
        <w:rPr>
          <w:rFonts w:hint="eastAsia" w:ascii="仿宋_GB2312" w:hAnsi="仿宋_GB2312" w:eastAsia="仿宋_GB2312" w:cs="仿宋_GB2312"/>
          <w:sz w:val="32"/>
          <w:szCs w:val="32"/>
        </w:rPr>
        <w:t>3.科教融合协同育人创新人才培养模式的探索与实践。</w:t>
      </w:r>
      <w:r>
        <w:rPr>
          <w:rFonts w:hint="eastAsia" w:ascii="仿宋" w:eastAsia="仿宋" w:cs="仿宋"/>
          <w:kern w:val="0"/>
          <w:sz w:val="32"/>
          <w:szCs w:val="32"/>
          <w:lang w:bidi="ar"/>
        </w:rPr>
        <w:t>以研究生创新精神和实践能力培养为核心，推进科教融合教学案例建设，研究地方高校科教融合联合培养高层次创新型科技人才的实施路径，探索实践“科教结合、协同育人”研究生创新人才培养模式。</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4.产教融合、校企合作人才培养模式的探索与实践。对接龙江经济和行业产业发展需求，整合校、企优质教育资源，探索校企合作育人机制，强化产教融合实践基地建设，创新办学模式创新为切入点，着力开展“招生-培养-就业”一体化的专业学位研究生培养模式创新与实践。</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5.科教融合科技创新育人平台建设探索与实践。以研究生创新精神和实践能力培养为核心，推进科技创新与研究生培养的紧密结合、深度融合，探索依托省部级及以上大平台、大工程、大项目培养研究生的体制、机制、模式。</w:t>
      </w:r>
    </w:p>
    <w:p>
      <w:pPr>
        <w:widowControl/>
        <w:spacing w:line="52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（二）研究生课程与教材建设</w:t>
      </w:r>
    </w:p>
    <w:p>
      <w:pPr>
        <w:spacing w:line="520" w:lineRule="exact"/>
        <w:ind w:firstLine="640" w:firstLineChars="200"/>
        <w:rPr>
          <w:rFonts w:ascii="仿宋" w:eastAsia="仿宋" w:cs="仿宋"/>
          <w:kern w:val="0"/>
          <w:sz w:val="32"/>
          <w:szCs w:val="32"/>
          <w:lang w:bidi="ar"/>
        </w:rPr>
      </w:pPr>
      <w:r>
        <w:rPr>
          <w:rFonts w:ascii="仿宋" w:eastAsia="仿宋" w:cs="仿宋"/>
          <w:kern w:val="0"/>
          <w:sz w:val="32"/>
          <w:szCs w:val="32"/>
          <w:lang w:bidi="ar"/>
        </w:rPr>
        <w:t>1</w:t>
      </w:r>
      <w:r>
        <w:rPr>
          <w:rFonts w:hint="eastAsia" w:ascii="仿宋" w:eastAsia="仿宋" w:cs="仿宋"/>
          <w:kern w:val="0"/>
          <w:sz w:val="32"/>
          <w:szCs w:val="32"/>
          <w:lang w:bidi="ar"/>
        </w:rPr>
        <w:t>.研究生课程体系优化建设研究与实践。以研究生学科核心课程建设为牵引，优化课程体系，开展课程分类建设，破除壁垒丰富学科交叉共享课程，推进课程教学模式与考核方式改革，探索更加开放、灵活的选课机制，提高研究生课程教学质量，支撑拔尖创新人才培养。</w:t>
      </w:r>
    </w:p>
    <w:p>
      <w:pPr>
        <w:spacing w:line="520" w:lineRule="exact"/>
        <w:ind w:firstLine="640" w:firstLineChars="200"/>
        <w:rPr>
          <w:rFonts w:ascii="仿宋" w:eastAsia="仿宋" w:cs="仿宋"/>
          <w:kern w:val="0"/>
          <w:sz w:val="32"/>
          <w:szCs w:val="32"/>
          <w:lang w:bidi="ar"/>
        </w:rPr>
      </w:pPr>
      <w:r>
        <w:rPr>
          <w:rFonts w:ascii="仿宋" w:eastAsia="仿宋" w:cs="仿宋"/>
          <w:kern w:val="0"/>
          <w:sz w:val="32"/>
          <w:szCs w:val="32"/>
          <w:lang w:bidi="ar"/>
        </w:rPr>
        <w:t>2</w:t>
      </w:r>
      <w:r>
        <w:rPr>
          <w:rFonts w:hint="eastAsia" w:ascii="仿宋" w:eastAsia="仿宋" w:cs="仿宋"/>
          <w:kern w:val="0"/>
          <w:sz w:val="32"/>
          <w:szCs w:val="32"/>
          <w:lang w:bidi="ar"/>
        </w:rPr>
        <w:t>.研究生精品系列教材资源建设。聚焦我省工学、农学、林学、医药、人文、教育、经管、基础等学科领域，依托省高水平大学和优势特色学科建设，围绕学术创新、应用型人才培养需要，分类打造研究生精品教材，探索校企合作开发的新形态教材资源建设路径。</w:t>
      </w:r>
    </w:p>
    <w:p>
      <w:pPr>
        <w:spacing w:line="52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（三）研究生产教融合基地建设</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1.产教融合研究生联合培养基地建设研究与实践。健全产教融合育人机制，探索行业企业全方位参与人才培养的实施路径，研究各领域专业学位与相应职业资格的有机衔接，探索专业学位研究生实践创新能力提升路径。</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2.产教融合研究生培养基地育人效能建设研究与实践。针对高校与基地的发展需求、双导师需求和研究生自身发展需求，探索建立基地效能定性定量相结合的评价机制，促进基地加强自身建设、拓展育人途径、创新育人模式和管理范式，切实增强基地的育人效能，提升研究生培养质量。</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3.基地学生管理及服务研究与实践。开展基地学生日常生活管理、专业实践管理、思想政治教育及课题研究管理现状调研，加强学校与基地间的协同，完善基地学生管理服务，确保基地学生实践能力锻炼与学位论文研究并重，思想素养提高与业务能力提升相互促进。</w:t>
      </w:r>
    </w:p>
    <w:p>
      <w:pPr>
        <w:spacing w:line="52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（四）研究生导师队伍建设</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1.研究生导师评聘评价制度探索与实践。探索学术学位和专业学位研究生导师分类评聘、分类考核评价体系，探索“跨学科、跨学校、跨行业”联合导师团队建设路径，创新行业产业导师选聘制度和岗位设立机制，探索专业学位研究生双导师制的双向考核评价体系。</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2.研究生导师第一责任人的落实路径探索与实践。以压实导师岗位责任为核心，探索导师岗位设置与职称评聘体系分离，构建科学合理的研究生导师培训机制，提升导师指导能力，强化导师队伍建设，以加强考核评价为途径，健全岗位选拔、调整和退出机制。</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3.研究生“双导师”队伍的建设研究与实践。聚焦需求，打破学科壁垒，强化“双导师”队伍建设，健全“产业（行业）导师”选聘制度，深入实施跨学科及校企联合培养，提升研究生</w:t>
      </w:r>
      <w:r>
        <w:rPr>
          <w:rFonts w:ascii="仿宋" w:eastAsia="仿宋" w:cs="仿宋"/>
          <w:kern w:val="0"/>
          <w:sz w:val="32"/>
          <w:szCs w:val="32"/>
          <w:lang w:bidi="ar"/>
        </w:rPr>
        <w:t>学科交叉与融合思维</w:t>
      </w:r>
      <w:r>
        <w:rPr>
          <w:rFonts w:hint="eastAsia" w:ascii="仿宋" w:eastAsia="仿宋" w:cs="仿宋"/>
          <w:kern w:val="0"/>
          <w:sz w:val="32"/>
          <w:szCs w:val="32"/>
          <w:lang w:bidi="ar"/>
        </w:rPr>
        <w:t>，促进专业学位研究生培养与相应职业资格的有效衔接。</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4.研究生导学关系的构建思路与对策。响应立德树人、铸魂育人的时代使命，构建和发展导学共同体，明晰导师既是学业导师又是人生导师，探索建构以价值取向为基础、真挚情感为动力、知识交往为手段、共赢发展为目标的新型导学关系。</w:t>
      </w:r>
    </w:p>
    <w:p>
      <w:pPr>
        <w:spacing w:line="52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（五）研究生教育质量监控与保障体系建设</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1.研究生教育质量评价体系建设研究与实践。研究完善人才培养质量保障体系，落实全过程管理职责，健全完善内部评价与外部评价相结合的评价方式，加强研究生教育质量监测，开展将毕业生职业发展与研究生教育质量评价相结合的评价机制探索研究。</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2.研究生培养过程质量管理的创新与实践。开展研究生培养全过程质量管理机制调研，探讨学术型和专业型研究生培养过程质量管理，围绕教学、实践、开题、论文研究与答辩等环节，对研究生全过程管理开展创新研究，强化导师、学院、学校各方管理职责，探索研究生培养管理新机制，提升研究生培养质量。</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3.研究生分流淘汰机制的创新与实践。开展研究生学业预警常态化机制创新研究，加强培养关键环节质量监控，完善研究生资格考试、中期考核和年度考核制度；畅通分流渠道，开展全过程、系统化的淘汰机制研究，探索全过程科学化的程序保障制度。</w:t>
      </w:r>
    </w:p>
    <w:p>
      <w:pPr>
        <w:spacing w:line="52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（六）学位点、专业学位优化布局</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1.学位点、专业学位布局动态监测、优化机制探索与实践。研究学术型学位点、专业学位类别动态监测方法和优化评价体系，探索学科常态化调整体制机制。依据“双一流”建设目标，研究学科建设创新性改革发展实施路径，形成一流学科建设的动态监测体系与优化机制。</w:t>
      </w:r>
    </w:p>
    <w:p>
      <w:pPr>
        <w:spacing w:line="520" w:lineRule="exact"/>
        <w:ind w:firstLine="640" w:firstLineChars="200"/>
        <w:rPr>
          <w:rFonts w:ascii="仿宋" w:eastAsia="仿宋" w:cs="仿宋"/>
          <w:kern w:val="0"/>
          <w:sz w:val="32"/>
          <w:szCs w:val="32"/>
          <w:lang w:bidi="ar"/>
        </w:rPr>
      </w:pPr>
      <w:r>
        <w:rPr>
          <w:rFonts w:hint="eastAsia" w:ascii="仿宋" w:eastAsia="仿宋" w:cs="仿宋"/>
          <w:kern w:val="0"/>
          <w:sz w:val="32"/>
          <w:szCs w:val="32"/>
          <w:lang w:bidi="ar"/>
        </w:rPr>
        <w:t>2.学位点建设质量体系理论和机制探索与实践。围绕国务院学位委员会学位点合格评估工作，结合周期合格评估、专项合格评估、专业学位评估等相关工作，研究学位点建设质量体系的构建方式，探讨学位点评估指标科学合理设置、评估结果使用等相关理论研究和实践方法。</w:t>
      </w:r>
    </w:p>
    <w:p>
      <w:pPr>
        <w:spacing w:line="520" w:lineRule="exact"/>
        <w:ind w:firstLine="640" w:firstLineChars="200"/>
        <w:rPr>
          <w:rFonts w:ascii="仿宋" w:eastAsia="仿宋" w:cs="仿宋"/>
          <w:kern w:val="0"/>
          <w:sz w:val="32"/>
          <w:szCs w:val="32"/>
          <w:lang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4785273"/>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mNzNjMDk1MzI0Nzg2ZTU3MjI4ODliYTQxNmRhZGEifQ=="/>
  </w:docVars>
  <w:rsids>
    <w:rsidRoot w:val="00823EB4"/>
    <w:rsid w:val="00011B6C"/>
    <w:rsid w:val="000214BB"/>
    <w:rsid w:val="000252FB"/>
    <w:rsid w:val="000345E8"/>
    <w:rsid w:val="00047E41"/>
    <w:rsid w:val="000615D2"/>
    <w:rsid w:val="00076083"/>
    <w:rsid w:val="00080B20"/>
    <w:rsid w:val="00085817"/>
    <w:rsid w:val="00087F32"/>
    <w:rsid w:val="000918A7"/>
    <w:rsid w:val="000B4FC8"/>
    <w:rsid w:val="000D24BC"/>
    <w:rsid w:val="000D3454"/>
    <w:rsid w:val="000F03AD"/>
    <w:rsid w:val="000F2E00"/>
    <w:rsid w:val="0010030C"/>
    <w:rsid w:val="00121F1C"/>
    <w:rsid w:val="001252B2"/>
    <w:rsid w:val="00151F59"/>
    <w:rsid w:val="0016349F"/>
    <w:rsid w:val="00187EE7"/>
    <w:rsid w:val="001955E2"/>
    <w:rsid w:val="001A388F"/>
    <w:rsid w:val="001C2852"/>
    <w:rsid w:val="001D0D9B"/>
    <w:rsid w:val="001D4873"/>
    <w:rsid w:val="001F4BB0"/>
    <w:rsid w:val="0020283B"/>
    <w:rsid w:val="00205919"/>
    <w:rsid w:val="00210DDD"/>
    <w:rsid w:val="002228E6"/>
    <w:rsid w:val="002302DB"/>
    <w:rsid w:val="00267740"/>
    <w:rsid w:val="00273CAF"/>
    <w:rsid w:val="0028332B"/>
    <w:rsid w:val="0029045B"/>
    <w:rsid w:val="002A2D6C"/>
    <w:rsid w:val="002A4411"/>
    <w:rsid w:val="002A447E"/>
    <w:rsid w:val="002B34BC"/>
    <w:rsid w:val="002C7F12"/>
    <w:rsid w:val="002D4DF2"/>
    <w:rsid w:val="00300D9A"/>
    <w:rsid w:val="00310834"/>
    <w:rsid w:val="003127BA"/>
    <w:rsid w:val="00314CF7"/>
    <w:rsid w:val="00320B89"/>
    <w:rsid w:val="00327E0D"/>
    <w:rsid w:val="00334366"/>
    <w:rsid w:val="00335E62"/>
    <w:rsid w:val="00337429"/>
    <w:rsid w:val="00342A05"/>
    <w:rsid w:val="003461E0"/>
    <w:rsid w:val="0034790C"/>
    <w:rsid w:val="00352948"/>
    <w:rsid w:val="00354015"/>
    <w:rsid w:val="00356E43"/>
    <w:rsid w:val="00382A46"/>
    <w:rsid w:val="003A12C1"/>
    <w:rsid w:val="003A2573"/>
    <w:rsid w:val="003C6CB3"/>
    <w:rsid w:val="003D0D02"/>
    <w:rsid w:val="003E1F73"/>
    <w:rsid w:val="003F31A3"/>
    <w:rsid w:val="00410695"/>
    <w:rsid w:val="00436317"/>
    <w:rsid w:val="00440601"/>
    <w:rsid w:val="00464721"/>
    <w:rsid w:val="004657ED"/>
    <w:rsid w:val="00473018"/>
    <w:rsid w:val="00483A67"/>
    <w:rsid w:val="00485BBC"/>
    <w:rsid w:val="00492051"/>
    <w:rsid w:val="004A4020"/>
    <w:rsid w:val="004B782C"/>
    <w:rsid w:val="004C1BF9"/>
    <w:rsid w:val="004C2F8A"/>
    <w:rsid w:val="004F3059"/>
    <w:rsid w:val="004F48E2"/>
    <w:rsid w:val="004F6237"/>
    <w:rsid w:val="004F7A70"/>
    <w:rsid w:val="005048B8"/>
    <w:rsid w:val="00505A47"/>
    <w:rsid w:val="0052162B"/>
    <w:rsid w:val="0053251B"/>
    <w:rsid w:val="005407D8"/>
    <w:rsid w:val="00561AA6"/>
    <w:rsid w:val="00571D3D"/>
    <w:rsid w:val="00576C1F"/>
    <w:rsid w:val="00582F0E"/>
    <w:rsid w:val="00597816"/>
    <w:rsid w:val="005A4DF2"/>
    <w:rsid w:val="005D40F6"/>
    <w:rsid w:val="005E01EC"/>
    <w:rsid w:val="005E5ACE"/>
    <w:rsid w:val="005E6C3D"/>
    <w:rsid w:val="006073D7"/>
    <w:rsid w:val="0060755D"/>
    <w:rsid w:val="0061299D"/>
    <w:rsid w:val="00616348"/>
    <w:rsid w:val="00616434"/>
    <w:rsid w:val="00635A3F"/>
    <w:rsid w:val="006519CE"/>
    <w:rsid w:val="006665D6"/>
    <w:rsid w:val="006767AB"/>
    <w:rsid w:val="006846BB"/>
    <w:rsid w:val="00684E3F"/>
    <w:rsid w:val="006A6B7E"/>
    <w:rsid w:val="006C03F1"/>
    <w:rsid w:val="006D6873"/>
    <w:rsid w:val="00705C60"/>
    <w:rsid w:val="007276B8"/>
    <w:rsid w:val="00737ADF"/>
    <w:rsid w:val="0074122D"/>
    <w:rsid w:val="00765CBC"/>
    <w:rsid w:val="00770DFD"/>
    <w:rsid w:val="00773698"/>
    <w:rsid w:val="007A67D3"/>
    <w:rsid w:val="007B0ABC"/>
    <w:rsid w:val="007B480C"/>
    <w:rsid w:val="007B4D18"/>
    <w:rsid w:val="007C40AE"/>
    <w:rsid w:val="007D3312"/>
    <w:rsid w:val="007E4EB0"/>
    <w:rsid w:val="007E50A3"/>
    <w:rsid w:val="007E6175"/>
    <w:rsid w:val="007F353F"/>
    <w:rsid w:val="00800E5F"/>
    <w:rsid w:val="00801F48"/>
    <w:rsid w:val="00806CD9"/>
    <w:rsid w:val="00823EB4"/>
    <w:rsid w:val="0083232D"/>
    <w:rsid w:val="00840A7D"/>
    <w:rsid w:val="00843728"/>
    <w:rsid w:val="0084589C"/>
    <w:rsid w:val="00860842"/>
    <w:rsid w:val="008801D2"/>
    <w:rsid w:val="00881E45"/>
    <w:rsid w:val="00884726"/>
    <w:rsid w:val="008A1417"/>
    <w:rsid w:val="008A5DEA"/>
    <w:rsid w:val="008B0BF0"/>
    <w:rsid w:val="008C59CD"/>
    <w:rsid w:val="008E63F4"/>
    <w:rsid w:val="008F13BC"/>
    <w:rsid w:val="0091031B"/>
    <w:rsid w:val="00937491"/>
    <w:rsid w:val="00942F36"/>
    <w:rsid w:val="00945203"/>
    <w:rsid w:val="00947542"/>
    <w:rsid w:val="00961CB6"/>
    <w:rsid w:val="00965F57"/>
    <w:rsid w:val="009827CC"/>
    <w:rsid w:val="00986960"/>
    <w:rsid w:val="0099690D"/>
    <w:rsid w:val="009A4093"/>
    <w:rsid w:val="009A61A4"/>
    <w:rsid w:val="009D427E"/>
    <w:rsid w:val="00A106C3"/>
    <w:rsid w:val="00A17DDF"/>
    <w:rsid w:val="00A27848"/>
    <w:rsid w:val="00A466A0"/>
    <w:rsid w:val="00A5246B"/>
    <w:rsid w:val="00A55A29"/>
    <w:rsid w:val="00A80B35"/>
    <w:rsid w:val="00A8131D"/>
    <w:rsid w:val="00A83452"/>
    <w:rsid w:val="00A90A71"/>
    <w:rsid w:val="00A92FDC"/>
    <w:rsid w:val="00AA3E7F"/>
    <w:rsid w:val="00AA7615"/>
    <w:rsid w:val="00AB51C3"/>
    <w:rsid w:val="00AC2B65"/>
    <w:rsid w:val="00AC2E10"/>
    <w:rsid w:val="00AD211D"/>
    <w:rsid w:val="00AF187E"/>
    <w:rsid w:val="00B00EA3"/>
    <w:rsid w:val="00B12FC5"/>
    <w:rsid w:val="00B14DEE"/>
    <w:rsid w:val="00B251F9"/>
    <w:rsid w:val="00B55689"/>
    <w:rsid w:val="00B61166"/>
    <w:rsid w:val="00B616E8"/>
    <w:rsid w:val="00B714DF"/>
    <w:rsid w:val="00B81010"/>
    <w:rsid w:val="00B824D9"/>
    <w:rsid w:val="00BB5148"/>
    <w:rsid w:val="00BC7012"/>
    <w:rsid w:val="00BE4876"/>
    <w:rsid w:val="00BE706C"/>
    <w:rsid w:val="00BE76A0"/>
    <w:rsid w:val="00C1587C"/>
    <w:rsid w:val="00C2626E"/>
    <w:rsid w:val="00C34DA1"/>
    <w:rsid w:val="00C35E15"/>
    <w:rsid w:val="00C649FC"/>
    <w:rsid w:val="00C80F70"/>
    <w:rsid w:val="00C81853"/>
    <w:rsid w:val="00C830AD"/>
    <w:rsid w:val="00CA1187"/>
    <w:rsid w:val="00CA25BD"/>
    <w:rsid w:val="00CA7B89"/>
    <w:rsid w:val="00CC47D5"/>
    <w:rsid w:val="00CC51DA"/>
    <w:rsid w:val="00CD2CC9"/>
    <w:rsid w:val="00CE1BAF"/>
    <w:rsid w:val="00D01023"/>
    <w:rsid w:val="00D11BA6"/>
    <w:rsid w:val="00D40F95"/>
    <w:rsid w:val="00D42FBB"/>
    <w:rsid w:val="00D77D04"/>
    <w:rsid w:val="00D81819"/>
    <w:rsid w:val="00D921BC"/>
    <w:rsid w:val="00D94CD0"/>
    <w:rsid w:val="00DB6595"/>
    <w:rsid w:val="00DD186F"/>
    <w:rsid w:val="00DE0B62"/>
    <w:rsid w:val="00E00A12"/>
    <w:rsid w:val="00E17972"/>
    <w:rsid w:val="00E233A9"/>
    <w:rsid w:val="00E36BBC"/>
    <w:rsid w:val="00E43567"/>
    <w:rsid w:val="00E54C05"/>
    <w:rsid w:val="00E83895"/>
    <w:rsid w:val="00E9674B"/>
    <w:rsid w:val="00EA35AA"/>
    <w:rsid w:val="00EA3E4E"/>
    <w:rsid w:val="00EB19EB"/>
    <w:rsid w:val="00EB2333"/>
    <w:rsid w:val="00EB5BF1"/>
    <w:rsid w:val="00ED6C28"/>
    <w:rsid w:val="00EE13DD"/>
    <w:rsid w:val="00EF6B92"/>
    <w:rsid w:val="00F067B9"/>
    <w:rsid w:val="00F33C2E"/>
    <w:rsid w:val="00F37C7F"/>
    <w:rsid w:val="00F572A2"/>
    <w:rsid w:val="00F60420"/>
    <w:rsid w:val="00F95776"/>
    <w:rsid w:val="00F95968"/>
    <w:rsid w:val="00FA67B8"/>
    <w:rsid w:val="00FC37B7"/>
    <w:rsid w:val="00FE0D16"/>
    <w:rsid w:val="00FE4A2C"/>
    <w:rsid w:val="00FF251D"/>
    <w:rsid w:val="00FF3787"/>
    <w:rsid w:val="034F5CAB"/>
    <w:rsid w:val="0ED042CC"/>
    <w:rsid w:val="17C275B4"/>
    <w:rsid w:val="1DA72DB1"/>
    <w:rsid w:val="2C78384C"/>
    <w:rsid w:val="2D2957C0"/>
    <w:rsid w:val="2F10190F"/>
    <w:rsid w:val="43BC05B8"/>
    <w:rsid w:val="50A403B6"/>
    <w:rsid w:val="510E2BC8"/>
    <w:rsid w:val="680B0F49"/>
    <w:rsid w:val="74D64F57"/>
    <w:rsid w:val="77454EEF"/>
    <w:rsid w:val="7780268C"/>
    <w:rsid w:val="79B70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customStyle="1" w:styleId="6">
    <w:name w:val="列表段落1"/>
    <w:basedOn w:val="1"/>
    <w:qFormat/>
    <w:uiPriority w:val="0"/>
    <w:pPr>
      <w:spacing w:line="500" w:lineRule="exact"/>
      <w:ind w:firstLine="420" w:firstLineChars="200"/>
    </w:pPr>
    <w:rPr>
      <w:sz w:val="28"/>
      <w:szCs w:val="28"/>
    </w:rPr>
  </w:style>
  <w:style w:type="character" w:customStyle="1" w:styleId="7">
    <w:name w:val="页眉 字符"/>
    <w:basedOn w:val="5"/>
    <w:link w:val="3"/>
    <w:qFormat/>
    <w:uiPriority w:val="0"/>
    <w:rPr>
      <w:rFonts w:asciiTheme="minorHAnsi" w:hAnsiTheme="minorHAnsi" w:eastAsiaTheme="minorEastAsia" w:cstheme="minorBidi"/>
      <w:kern w:val="2"/>
      <w:sz w:val="18"/>
      <w:szCs w:val="18"/>
    </w:rPr>
  </w:style>
  <w:style w:type="character" w:customStyle="1" w:styleId="8">
    <w:name w:val="页脚 字符"/>
    <w:basedOn w:val="5"/>
    <w:link w:val="2"/>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6386</Words>
  <Characters>6469</Characters>
  <Lines>46</Lines>
  <Paragraphs>13</Paragraphs>
  <TotalTime>505</TotalTime>
  <ScaleCrop>false</ScaleCrop>
  <LinksUpToDate>false</LinksUpToDate>
  <CharactersWithSpaces>6477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2022-11-08T01:15:00Z</dcterms:created>
  <dc:creator>leiyo</dc:creator>
  <cp:lastModifiedBy>小洋洋</cp:lastModifiedBy>
  <cp:lastPrinted>2022-11-17T09:01:35Z</cp:lastPrinted>
  <dcterms:modified xsi:type="dcterms:W3CDTF">2022-11-17T09:35:00Z</dcterms:modified>
  <cp:revision>224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EAC044AA1A774AD5B3514E2AAE2FF7C2</vt:lpwstr>
  </property>
</Properties>
</file>