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30E351">
      <w:pPr>
        <w:widowControl/>
        <w:spacing w:before="312" w:beforeLines="100" w:after="312" w:afterLines="100"/>
        <w:jc w:val="center"/>
        <w:outlineLvl w:val="0"/>
        <w:rPr>
          <w:rFonts w:ascii="微软雅黑" w:hAnsi="微软雅黑" w:eastAsia="微软雅黑" w:cs="宋体"/>
          <w:b/>
          <w:bCs/>
          <w:color w:val="06439C"/>
          <w:kern w:val="36"/>
          <w:sz w:val="36"/>
          <w:szCs w:val="36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-787400</wp:posOffset>
            </wp:positionV>
            <wp:extent cx="6188710" cy="788670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b/>
          <w:bCs/>
          <w:color w:val="06439C"/>
          <w:kern w:val="36"/>
          <w:sz w:val="36"/>
          <w:szCs w:val="36"/>
        </w:rPr>
        <w:t xml:space="preserve"> 哈尔滨工业大学“高端装备与智能制造”研究生暑期学校</w:t>
      </w:r>
    </w:p>
    <w:p w14:paraId="5F92FA51">
      <w:pPr>
        <w:snapToGrid w:val="0"/>
        <w:spacing w:line="360" w:lineRule="auto"/>
        <w:ind w:firstLine="580" w:firstLineChars="200"/>
        <w:rPr>
          <w:rFonts w:ascii="楷体" w:hAnsi="楷体" w:eastAsia="楷体" w:cs="宋体"/>
          <w:sz w:val="29"/>
          <w:szCs w:val="29"/>
        </w:rPr>
      </w:pPr>
      <w:r>
        <w:rPr>
          <w:rFonts w:hint="eastAsia" w:ascii="楷体" w:hAnsi="楷体" w:eastAsia="楷体" w:cs="宋体"/>
          <w:sz w:val="29"/>
          <w:szCs w:val="29"/>
        </w:rPr>
        <w:t>高端装备是强国之基，为加快发展新质生产力、落实制造强国战略、建设现代化产业体系提供重要支撑。智能制造作为国家制造业升级的关键，在推动科技创新和产业升级等方面都发挥着不可替代的作用。高端装备是智能制造的载体和产品，是智能制造在技术含量、价值链、产业链方面的优势体现。</w:t>
      </w:r>
    </w:p>
    <w:p w14:paraId="2A438C2E">
      <w:pPr>
        <w:snapToGrid w:val="0"/>
        <w:spacing w:line="360" w:lineRule="auto"/>
        <w:ind w:firstLine="580" w:firstLineChars="200"/>
        <w:rPr>
          <w:rFonts w:ascii="楷体" w:hAnsi="楷体" w:eastAsia="楷体" w:cs="宋体"/>
          <w:sz w:val="29"/>
          <w:szCs w:val="29"/>
        </w:rPr>
      </w:pPr>
      <w:r>
        <w:rPr>
          <w:rFonts w:hint="eastAsia" w:ascii="楷体" w:hAnsi="楷体" w:eastAsia="楷体" w:cs="宋体"/>
          <w:sz w:val="29"/>
          <w:szCs w:val="29"/>
        </w:rPr>
        <w:t>哈尔滨工业大学机电工程学院承办的</w:t>
      </w:r>
      <w:r>
        <w:rPr>
          <w:rFonts w:hint="eastAsia" w:ascii="楷体" w:hAnsi="楷体" w:eastAsia="楷体" w:cs="宋体"/>
          <w:b/>
          <w:bCs/>
          <w:color w:val="0000CC"/>
          <w:sz w:val="29"/>
          <w:szCs w:val="29"/>
        </w:rPr>
        <w:t>“高端装备与智能制造”研究生暑期学校</w:t>
      </w:r>
      <w:r>
        <w:rPr>
          <w:rFonts w:hint="eastAsia" w:ascii="楷体" w:hAnsi="楷体" w:eastAsia="楷体" w:cs="宋体"/>
          <w:sz w:val="29"/>
          <w:szCs w:val="29"/>
        </w:rPr>
        <w:t>紧密结合</w:t>
      </w:r>
      <w:r>
        <w:rPr>
          <w:rFonts w:hint="eastAsia" w:ascii="楷体" w:hAnsi="楷体" w:eastAsia="楷体" w:cs="宋体"/>
          <w:b/>
          <w:bCs/>
          <w:color w:val="FF0000"/>
          <w:sz w:val="29"/>
          <w:szCs w:val="29"/>
        </w:rPr>
        <w:t>“培养杰出人才，打造国之重器”</w:t>
      </w:r>
      <w:r>
        <w:rPr>
          <w:rFonts w:hint="eastAsia" w:ascii="楷体" w:hAnsi="楷体" w:eastAsia="楷体" w:cs="宋体"/>
          <w:sz w:val="29"/>
          <w:szCs w:val="29"/>
        </w:rPr>
        <w:t>的战略目标，立足</w:t>
      </w:r>
      <w:r>
        <w:rPr>
          <w:rFonts w:ascii="楷体" w:hAnsi="楷体" w:eastAsia="楷体" w:cs="宋体"/>
          <w:sz w:val="29"/>
          <w:szCs w:val="29"/>
        </w:rPr>
        <w:t>机电</w:t>
      </w:r>
      <w:r>
        <w:rPr>
          <w:rFonts w:hint="eastAsia" w:ascii="楷体" w:hAnsi="楷体" w:eastAsia="楷体" w:cs="宋体"/>
          <w:sz w:val="29"/>
          <w:szCs w:val="29"/>
        </w:rPr>
        <w:t>工程学院高端装备的研制背景和智能制造的技术优势，为暑期学校学生提供拓展学术视野、启发学术思路、了解学科特色的重要平台。</w:t>
      </w:r>
    </w:p>
    <w:p w14:paraId="571DDA6E">
      <w:pPr>
        <w:snapToGrid w:val="0"/>
        <w:spacing w:line="360" w:lineRule="auto"/>
        <w:jc w:val="center"/>
        <w:rPr>
          <w:rFonts w:ascii="楷体" w:hAnsi="楷体" w:eastAsia="楷体" w:cs="宋体"/>
          <w:sz w:val="29"/>
          <w:szCs w:val="29"/>
        </w:rPr>
      </w:pPr>
      <w:r>
        <w:drawing>
          <wp:inline distT="0" distB="0" distL="0" distR="0">
            <wp:extent cx="4873625" cy="259143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2253" cy="259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7D74">
      <w:pPr>
        <w:snapToGrid w:val="0"/>
        <w:spacing w:line="360" w:lineRule="auto"/>
        <w:ind w:firstLine="582" w:firstLineChars="200"/>
        <w:rPr>
          <w:rFonts w:ascii="楷体" w:hAnsi="楷体" w:eastAsia="楷体" w:cs="宋体"/>
          <w:sz w:val="29"/>
          <w:szCs w:val="29"/>
        </w:rPr>
      </w:pPr>
      <w:r>
        <w:rPr>
          <w:rFonts w:hint="eastAsia" w:ascii="楷体" w:hAnsi="楷体" w:eastAsia="楷体" w:cs="宋体"/>
          <w:b/>
          <w:bCs/>
          <w:sz w:val="29"/>
          <w:szCs w:val="29"/>
        </w:rPr>
        <w:t>课堂教学：</w:t>
      </w:r>
      <w:r>
        <w:rPr>
          <w:rFonts w:hint="eastAsia" w:ascii="楷体" w:hAnsi="楷体" w:eastAsia="楷体" w:cs="宋体"/>
          <w:sz w:val="29"/>
          <w:szCs w:val="29"/>
        </w:rPr>
        <w:t>暑期学校将邀请院士、国家高层次人才等国内学术专家、国际知名学者，航空航天、机器人、高端装备等领域的企业专家和行业导师进行学术报告。</w:t>
      </w:r>
    </w:p>
    <w:p w14:paraId="244FA8A9">
      <w:pPr>
        <w:widowControl/>
        <w:snapToGrid w:val="0"/>
        <w:spacing w:line="360" w:lineRule="auto"/>
        <w:ind w:firstLine="555"/>
        <w:jc w:val="left"/>
        <w:rPr>
          <w:rFonts w:ascii="楷体" w:hAnsi="楷体" w:eastAsia="楷体" w:cs="宋体"/>
          <w:sz w:val="29"/>
          <w:szCs w:val="29"/>
        </w:rPr>
      </w:pPr>
      <w:r>
        <w:rPr>
          <w:rFonts w:hint="eastAsia" w:ascii="楷体" w:hAnsi="楷体" w:eastAsia="楷体" w:cs="宋体"/>
          <w:b/>
          <w:bCs/>
          <w:sz w:val="29"/>
          <w:szCs w:val="29"/>
        </w:rPr>
        <w:t>实践教学：</w:t>
      </w:r>
      <w:r>
        <w:rPr>
          <w:rFonts w:hint="eastAsia" w:ascii="楷体" w:hAnsi="楷体" w:eastAsia="楷体" w:cs="宋体"/>
          <w:sz w:val="29"/>
          <w:szCs w:val="29"/>
        </w:rPr>
        <w:t>学员将观摩机器人技术与系统国家重点实验室、宇航空间机构全国重点实验室、超精密加工国防科技工业先进技术研究应用中心、航空航天轴承技术及装备工信部重点实验室、黑龙江省超精密加工与特种加工重点实验室等科研基地，并与优秀研究生进行联谊交流。</w:t>
      </w:r>
    </w:p>
    <w:p w14:paraId="43EC319B">
      <w:pPr>
        <w:widowControl/>
        <w:snapToGrid w:val="0"/>
        <w:spacing w:line="360" w:lineRule="auto"/>
        <w:jc w:val="left"/>
        <w:rPr>
          <w:rFonts w:ascii="微软雅黑" w:hAnsi="微软雅黑" w:eastAsia="楷体" w:cs="宋体"/>
          <w:color w:val="3E3E3E"/>
          <w:kern w:val="0"/>
          <w:szCs w:val="21"/>
        </w:rPr>
      </w:pPr>
      <w:r>
        <w:rPr>
          <w:rFonts w:ascii="Calibri" w:hAnsi="Calibri" w:eastAsia="黑体" w:cs="Calibri"/>
          <w:b/>
          <w:bCs/>
          <w:color w:val="3E3E3E"/>
          <w:kern w:val="0"/>
          <w:sz w:val="29"/>
          <w:szCs w:val="29"/>
        </w:rPr>
        <w:t> </w:t>
      </w:r>
      <w:r>
        <w:rPr>
          <w:rFonts w:hint="eastAsia" w:ascii="黑体" w:hAnsi="黑体" w:eastAsia="黑体" w:cs="宋体"/>
          <w:b/>
          <w:bCs/>
          <w:color w:val="3E3E3E"/>
          <w:kern w:val="0"/>
          <w:sz w:val="29"/>
          <w:szCs w:val="29"/>
        </w:rPr>
        <w:t xml:space="preserve"> </w:t>
      </w:r>
      <w:r>
        <w:rPr>
          <w:rFonts w:ascii="Calibri" w:hAnsi="Calibri" w:eastAsia="黑体" w:cs="Calibri"/>
          <w:b/>
          <w:bCs/>
          <w:color w:val="3E3E3E"/>
          <w:kern w:val="0"/>
          <w:sz w:val="29"/>
          <w:szCs w:val="29"/>
        </w:rPr>
        <w:t> </w:t>
      </w:r>
      <w:r>
        <w:rPr>
          <w:rFonts w:hint="eastAsia" w:ascii="黑体" w:hAnsi="黑体" w:eastAsia="黑体" w:cs="宋体"/>
          <w:b/>
          <w:bCs/>
          <w:color w:val="3E3E3E"/>
          <w:kern w:val="0"/>
          <w:sz w:val="29"/>
          <w:szCs w:val="29"/>
        </w:rPr>
        <w:t xml:space="preserve"> </w:t>
      </w:r>
      <w:r>
        <w:rPr>
          <w:rFonts w:ascii="Calibri" w:hAnsi="Calibri" w:eastAsia="黑体" w:cs="Calibri"/>
          <w:b/>
          <w:bCs/>
          <w:color w:val="3E3E3E"/>
          <w:kern w:val="0"/>
          <w:sz w:val="29"/>
          <w:szCs w:val="29"/>
        </w:rPr>
        <w:t> </w:t>
      </w:r>
      <w:r>
        <w:rPr>
          <w:rFonts w:hint="eastAsia" w:ascii="黑体" w:hAnsi="黑体" w:eastAsia="黑体" w:cs="宋体"/>
          <w:b/>
          <w:bCs/>
          <w:color w:val="3E3E3E"/>
          <w:kern w:val="0"/>
          <w:sz w:val="29"/>
          <w:szCs w:val="29"/>
        </w:rPr>
        <w:t xml:space="preserve"> </w:t>
      </w:r>
      <w:r>
        <w:rPr>
          <w:rFonts w:hint="eastAsia" w:ascii="楷体" w:hAnsi="楷体" w:eastAsia="楷体" w:cs="宋体"/>
          <w:b/>
          <w:bCs/>
          <w:sz w:val="29"/>
          <w:szCs w:val="29"/>
        </w:rPr>
        <w:t>研究生暑期学校开班时间：</w:t>
      </w:r>
      <w:r>
        <w:rPr>
          <w:rFonts w:hint="eastAsia" w:ascii="楷体" w:hAnsi="楷体" w:eastAsia="楷体" w:cs="宋体"/>
          <w:sz w:val="29"/>
          <w:szCs w:val="29"/>
        </w:rPr>
        <w:t>2026.07.</w:t>
      </w:r>
      <w:r>
        <w:rPr>
          <w:rFonts w:ascii="楷体" w:hAnsi="楷体" w:eastAsia="楷体" w:cs="宋体"/>
          <w:sz w:val="29"/>
          <w:szCs w:val="29"/>
        </w:rPr>
        <w:t>1</w:t>
      </w:r>
      <w:r>
        <w:rPr>
          <w:rFonts w:hint="eastAsia" w:ascii="楷体" w:hAnsi="楷体" w:eastAsia="楷体" w:cs="宋体"/>
          <w:sz w:val="29"/>
          <w:szCs w:val="29"/>
        </w:rPr>
        <w:t>3-2026.07.17</w:t>
      </w:r>
    </w:p>
    <w:p w14:paraId="13274BFD">
      <w:pPr>
        <w:widowControl/>
        <w:snapToGrid w:val="0"/>
        <w:spacing w:line="360" w:lineRule="auto"/>
        <w:ind w:firstLine="555"/>
        <w:jc w:val="left"/>
        <w:rPr>
          <w:rFonts w:ascii="微软雅黑" w:hAnsi="微软雅黑" w:eastAsia="微软雅黑" w:cs="宋体"/>
          <w:color w:val="3E3E3E"/>
          <w:kern w:val="0"/>
          <w:szCs w:val="21"/>
        </w:rPr>
      </w:pP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楷体" w:hAnsi="楷体" w:eastAsia="楷体" w:cs="宋体"/>
          <w:b/>
          <w:bCs/>
          <w:sz w:val="29"/>
          <w:szCs w:val="29"/>
        </w:rPr>
        <w:t>招生计划及对象：</w:t>
      </w:r>
      <w:r>
        <w:rPr>
          <w:rFonts w:hint="eastAsia" w:ascii="楷体" w:hAnsi="楷体" w:eastAsia="楷体" w:cs="宋体"/>
          <w:sz w:val="29"/>
          <w:szCs w:val="29"/>
        </w:rPr>
        <w:t>计划招生100人，面向校内外相关学科研究生及高年级优秀本科生。（将依据报名情况择优录取学员）</w:t>
      </w:r>
    </w:p>
    <w:p w14:paraId="43EEFD3C">
      <w:pPr>
        <w:widowControl/>
        <w:snapToGrid w:val="0"/>
        <w:spacing w:line="360" w:lineRule="auto"/>
        <w:rPr>
          <w:rFonts w:ascii="微软雅黑" w:hAnsi="微软雅黑" w:eastAsia="微软雅黑" w:cs="宋体"/>
          <w:color w:val="3E3E3E"/>
          <w:kern w:val="0"/>
          <w:szCs w:val="21"/>
        </w:rPr>
      </w:pP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Calibri" w:hAnsi="Calibri" w:eastAsia="楷体" w:cs="Calibri"/>
          <w:b/>
          <w:bCs/>
          <w:sz w:val="29"/>
          <w:szCs w:val="29"/>
        </w:rPr>
        <w:t xml:space="preserve"> </w:t>
      </w: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Calibri" w:hAnsi="Calibri" w:eastAsia="楷体" w:cs="Calibri"/>
          <w:b/>
          <w:bCs/>
          <w:sz w:val="29"/>
          <w:szCs w:val="29"/>
        </w:rPr>
        <w:t xml:space="preserve"> </w:t>
      </w: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Calibri" w:hAnsi="Calibri" w:eastAsia="楷体" w:cs="Calibri"/>
          <w:b/>
          <w:bCs/>
          <w:sz w:val="29"/>
          <w:szCs w:val="29"/>
        </w:rPr>
        <w:t xml:space="preserve"> 报名方式：</w:t>
      </w:r>
      <w:r>
        <w:rPr>
          <w:rFonts w:hint="eastAsia" w:ascii="楷体" w:hAnsi="楷体" w:eastAsia="楷体" w:cs="宋体"/>
          <w:sz w:val="29"/>
          <w:szCs w:val="29"/>
        </w:rPr>
        <w:t>本次研究生暑期学校面向全国招生，免注册费，名额有限。请意向报名的学员填写如下麦克表单报名，报名截止时间为2026年6月29日2</w:t>
      </w:r>
      <w:r>
        <w:rPr>
          <w:rFonts w:ascii="楷体" w:hAnsi="楷体" w:eastAsia="楷体" w:cs="宋体"/>
          <w:sz w:val="29"/>
          <w:szCs w:val="29"/>
        </w:rPr>
        <w:t>0</w:t>
      </w:r>
      <w:r>
        <w:rPr>
          <w:rFonts w:hint="eastAsia" w:ascii="楷体" w:hAnsi="楷体" w:eastAsia="楷体" w:cs="宋体"/>
          <w:sz w:val="29"/>
          <w:szCs w:val="29"/>
        </w:rPr>
        <w:t>点。</w:t>
      </w:r>
    </w:p>
    <w:p w14:paraId="2E638A84">
      <w:pPr>
        <w:widowControl/>
        <w:snapToGrid w:val="0"/>
        <w:spacing w:line="360" w:lineRule="auto"/>
        <w:jc w:val="center"/>
        <w:rPr>
          <w:rFonts w:ascii="Times New Roman" w:hAnsi="Times New Roman" w:eastAsia="楷体" w:cs="Times New Roman"/>
          <w:sz w:val="29"/>
          <w:szCs w:val="29"/>
        </w:rPr>
      </w:pPr>
      <w:r>
        <w:rPr>
          <w:rFonts w:hint="eastAsia" w:ascii="Times New Roman" w:hAnsi="Times New Roman" w:eastAsia="楷体" w:cs="Times New Roman"/>
          <w:sz w:val="29"/>
          <w:szCs w:val="29"/>
        </w:rPr>
        <w:t>https://hitsmeyb.mike-x.com/Grvx5</w:t>
      </w:r>
    </w:p>
    <w:p w14:paraId="36721F3A">
      <w:pPr>
        <w:widowControl/>
        <w:snapToGrid w:val="0"/>
        <w:spacing w:line="360" w:lineRule="auto"/>
        <w:jc w:val="left"/>
        <w:rPr>
          <w:rFonts w:ascii="楷体" w:hAnsi="楷体" w:eastAsia="楷体" w:cs="宋体"/>
          <w:sz w:val="29"/>
          <w:szCs w:val="29"/>
        </w:rPr>
      </w:pP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Calibri" w:hAnsi="Calibri" w:eastAsia="楷体" w:cs="Calibri"/>
          <w:b/>
          <w:bCs/>
          <w:sz w:val="29"/>
          <w:szCs w:val="29"/>
        </w:rPr>
        <w:t xml:space="preserve"> </w:t>
      </w: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Calibri" w:hAnsi="Calibri" w:eastAsia="楷体" w:cs="Calibri"/>
          <w:b/>
          <w:bCs/>
          <w:sz w:val="29"/>
          <w:szCs w:val="29"/>
        </w:rPr>
        <w:t xml:space="preserve"> </w:t>
      </w: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Calibri" w:hAnsi="Calibri" w:eastAsia="楷体" w:cs="Calibri"/>
          <w:b/>
          <w:bCs/>
          <w:sz w:val="29"/>
          <w:szCs w:val="29"/>
        </w:rPr>
        <w:t xml:space="preserve"> 联系电话：</w:t>
      </w:r>
      <w:bookmarkStart w:id="2" w:name="_GoBack"/>
      <w:r>
        <w:rPr>
          <w:rFonts w:hint="eastAsia" w:ascii="楷体" w:hAnsi="楷体" w:eastAsia="楷体" w:cs="宋体"/>
          <w:sz w:val="29"/>
          <w:szCs w:val="29"/>
        </w:rPr>
        <w:t>0451-86413811（于老师、姜老师）</w:t>
      </w:r>
      <w:bookmarkEnd w:id="2"/>
    </w:p>
    <w:p w14:paraId="1E8EEA3E">
      <w:pPr>
        <w:widowControl/>
        <w:snapToGrid w:val="0"/>
        <w:spacing w:line="360" w:lineRule="auto"/>
        <w:jc w:val="left"/>
        <w:rPr>
          <w:rFonts w:ascii="楷体" w:hAnsi="楷体" w:eastAsia="楷体" w:cs="宋体"/>
          <w:sz w:val="29"/>
          <w:szCs w:val="29"/>
        </w:rPr>
      </w:pP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Calibri" w:hAnsi="Calibri" w:eastAsia="楷体" w:cs="Calibri"/>
          <w:b/>
          <w:bCs/>
          <w:sz w:val="29"/>
          <w:szCs w:val="29"/>
        </w:rPr>
        <w:t xml:space="preserve"> </w:t>
      </w: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Calibri" w:hAnsi="Calibri" w:eastAsia="楷体" w:cs="Calibri"/>
          <w:b/>
          <w:bCs/>
          <w:sz w:val="29"/>
          <w:szCs w:val="29"/>
        </w:rPr>
        <w:t xml:space="preserve"> </w:t>
      </w:r>
      <w:r>
        <w:rPr>
          <w:rFonts w:ascii="Calibri" w:hAnsi="Calibri" w:eastAsia="楷体" w:cs="Calibri"/>
          <w:b/>
          <w:bCs/>
          <w:sz w:val="29"/>
          <w:szCs w:val="29"/>
        </w:rPr>
        <w:t> </w:t>
      </w:r>
      <w:r>
        <w:rPr>
          <w:rFonts w:hint="eastAsia" w:ascii="Calibri" w:hAnsi="Calibri" w:eastAsia="楷体" w:cs="Calibri"/>
          <w:b/>
          <w:bCs/>
          <w:sz w:val="29"/>
          <w:szCs w:val="29"/>
        </w:rPr>
        <w:t xml:space="preserve"> 联系地址：</w:t>
      </w:r>
      <w:r>
        <w:rPr>
          <w:rFonts w:hint="eastAsia" w:ascii="楷体" w:hAnsi="楷体" w:eastAsia="楷体" w:cs="宋体"/>
          <w:sz w:val="29"/>
          <w:szCs w:val="29"/>
        </w:rPr>
        <w:t>哈尔滨工业大学机械楼2035,机电工程学院研究生办公室</w:t>
      </w:r>
    </w:p>
    <w:p w14:paraId="30C4AC96"/>
    <w:p w14:paraId="14DF352C"/>
    <w:p w14:paraId="38933AE4">
      <w:pPr>
        <w:widowControl/>
        <w:jc w:val="left"/>
      </w:pPr>
      <w:r>
        <w:br w:type="page"/>
      </w:r>
    </w:p>
    <w:p w14:paraId="46954DEA">
      <w:pPr>
        <w:jc w:val="center"/>
        <w:rPr>
          <w:rFonts w:ascii="Adobe Gothic Std B" w:hAnsi="Adobe Gothic Std B" w:eastAsia="Adobe Gothic Std B"/>
          <w:b/>
          <w:bCs/>
          <w:color w:val="0000CC"/>
          <w:sz w:val="28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-790575</wp:posOffset>
            </wp:positionV>
            <wp:extent cx="6188710" cy="788670"/>
            <wp:effectExtent l="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dobe Gothic Std B" w:hAnsi="Adobe Gothic Std B" w:eastAsia="Adobe Gothic Std B"/>
          <w:b/>
          <w:bCs/>
          <w:color w:val="0000CC"/>
          <w:sz w:val="28"/>
          <w:szCs w:val="32"/>
        </w:rPr>
        <w:t xml:space="preserve">Harbin Institute of Technology </w:t>
      </w:r>
      <w:r>
        <w:rPr>
          <w:rFonts w:hint="eastAsia" w:ascii="Adobe Gothic Std B" w:hAnsi="Adobe Gothic Std B" w:eastAsia="Adobe Gothic Std B"/>
          <w:b/>
          <w:bCs/>
          <w:color w:val="0000CC"/>
          <w:sz w:val="28"/>
          <w:szCs w:val="32"/>
        </w:rPr>
        <w:t>Postgraduate</w:t>
      </w:r>
      <w:r>
        <w:rPr>
          <w:rFonts w:ascii="Adobe Gothic Std B" w:hAnsi="Adobe Gothic Std B" w:eastAsia="Adobe Gothic Std B"/>
          <w:b/>
          <w:bCs/>
          <w:color w:val="0000CC"/>
          <w:sz w:val="28"/>
          <w:szCs w:val="32"/>
        </w:rPr>
        <w:t xml:space="preserve"> Summer School on "High-end Equipment and Intelligent </w:t>
      </w:r>
      <w:bookmarkStart w:id="0" w:name="OLE_LINK2"/>
      <w:bookmarkStart w:id="1" w:name="OLE_LINK1"/>
      <w:r>
        <w:rPr>
          <w:rFonts w:ascii="Adobe Gothic Std B" w:hAnsi="Adobe Gothic Std B" w:eastAsia="Adobe Gothic Std B"/>
          <w:b/>
          <w:bCs/>
          <w:color w:val="0000CC"/>
          <w:sz w:val="28"/>
          <w:szCs w:val="32"/>
        </w:rPr>
        <w:t>Manufacturing</w:t>
      </w:r>
      <w:bookmarkEnd w:id="0"/>
      <w:bookmarkEnd w:id="1"/>
      <w:r>
        <w:rPr>
          <w:rFonts w:ascii="Adobe Gothic Std B" w:hAnsi="Adobe Gothic Std B" w:eastAsia="Adobe Gothic Std B"/>
          <w:b/>
          <w:bCs/>
          <w:color w:val="0000CC"/>
          <w:sz w:val="28"/>
          <w:szCs w:val="32"/>
        </w:rPr>
        <w:t>"</w:t>
      </w:r>
    </w:p>
    <w:p w14:paraId="7BD5A629">
      <w:pPr>
        <w:snapToGrid w:val="0"/>
        <w:spacing w:line="360" w:lineRule="auto"/>
        <w:rPr>
          <w:rFonts w:ascii="Arial" w:hAnsi="Arial" w:cs="Arial"/>
          <w:highlight w:val="none"/>
        </w:rPr>
      </w:pPr>
      <w:r>
        <w:rPr>
          <w:rFonts w:ascii="Arial" w:hAnsi="Arial" w:cs="Arial"/>
        </w:rPr>
        <w:t>High-end equipment is the foundation of a strong country, providing important support for accelerating the d</w:t>
      </w:r>
      <w:r>
        <w:rPr>
          <w:rFonts w:ascii="Arial" w:hAnsi="Arial" w:cs="Arial"/>
          <w:highlight w:val="none"/>
        </w:rPr>
        <w:t>evelopment of new productive forces, implementing the strategy of building a strong manufacturing country, and constructing a modern industrial system. Intelligent manufacturing, as the key to upgrading the national manufacturing industry, plays an irreplaceable role in promoting technological innovation and industrial upgrading. High-end equipment is the carrier and product of intelligent manufacturing, reflecting the advantages of intelligent manufacturing in terms of technological content, value chain, and industrial chain.</w:t>
      </w:r>
    </w:p>
    <w:p w14:paraId="67FCEB30">
      <w:pPr>
        <w:snapToGrid w:val="0"/>
        <w:spacing w:line="360" w:lineRule="auto"/>
        <w:rPr>
          <w:rFonts w:ascii="Arial" w:hAnsi="Arial" w:cs="Arial"/>
          <w:highlight w:val="none"/>
        </w:rPr>
      </w:pPr>
      <w:r>
        <w:rPr>
          <w:rFonts w:ascii="Arial" w:hAnsi="Arial" w:cs="Arial"/>
          <w:highlight w:val="none"/>
        </w:rPr>
        <w:t>The "High-end Equipment and Intelligent Manufacturing" Summer School, undertaken by the School of Mecha</w:t>
      </w:r>
      <w:r>
        <w:rPr>
          <w:rFonts w:hint="eastAsia" w:ascii="Arial" w:hAnsi="Arial" w:cs="Arial"/>
          <w:highlight w:val="none"/>
        </w:rPr>
        <w:t>tronics</w:t>
      </w:r>
      <w:r>
        <w:rPr>
          <w:rFonts w:ascii="Arial" w:hAnsi="Arial" w:cs="Arial"/>
          <w:highlight w:val="none"/>
        </w:rPr>
        <w:t xml:space="preserve"> Engineering, closely integrates the strategic goal of "cultivating outstanding talents and </w:t>
      </w:r>
      <w:r>
        <w:rPr>
          <w:rFonts w:hint="eastAsia" w:ascii="Arial" w:hAnsi="Arial" w:cs="Arial"/>
          <w:highlight w:val="none"/>
          <w:lang w:val="en-US" w:eastAsia="zh-CN"/>
        </w:rPr>
        <w:t xml:space="preserve">building </w:t>
      </w:r>
      <w:r>
        <w:rPr>
          <w:rFonts w:ascii="Arial" w:hAnsi="Arial" w:cs="Arial"/>
          <w:highlight w:val="none"/>
        </w:rPr>
        <w:t xml:space="preserve">national </w:t>
      </w:r>
      <w:r>
        <w:rPr>
          <w:rFonts w:hint="eastAsia" w:ascii="Arial" w:hAnsi="Arial" w:cs="Arial"/>
          <w:highlight w:val="none"/>
          <w:lang w:val="en-US" w:eastAsia="zh-CN"/>
        </w:rPr>
        <w:t>major projects</w:t>
      </w:r>
      <w:r>
        <w:rPr>
          <w:rFonts w:ascii="Arial" w:hAnsi="Arial" w:cs="Arial"/>
          <w:highlight w:val="none"/>
        </w:rPr>
        <w:t>". Based on the research and development background of high-end equipment and the technological advantages of intelligent manufacturing in the School of Mecha</w:t>
      </w:r>
      <w:r>
        <w:rPr>
          <w:rFonts w:hint="eastAsia" w:ascii="Arial" w:hAnsi="Arial" w:cs="Arial"/>
          <w:highlight w:val="none"/>
        </w:rPr>
        <w:t>tronics</w:t>
      </w:r>
      <w:r>
        <w:rPr>
          <w:rFonts w:ascii="Arial" w:hAnsi="Arial" w:cs="Arial"/>
          <w:highlight w:val="none"/>
        </w:rPr>
        <w:t xml:space="preserve"> Engineering, it provides an important platform for summer school students to expand their academic horizons, inspire academic ideas, and understand the characteristics of the discipline.</w:t>
      </w:r>
    </w:p>
    <w:p w14:paraId="06064908">
      <w:pPr>
        <w:snapToGrid w:val="0"/>
        <w:spacing w:line="360" w:lineRule="auto"/>
        <w:ind w:firstLine="420" w:firstLineChars="200"/>
        <w:jc w:val="center"/>
        <w:rPr>
          <w:rFonts w:ascii="楷体" w:hAnsi="楷体" w:eastAsia="楷体" w:cs="宋体"/>
          <w:sz w:val="29"/>
          <w:szCs w:val="29"/>
          <w:highlight w:val="none"/>
        </w:rPr>
      </w:pPr>
      <w:r>
        <w:rPr>
          <w:highlight w:val="none"/>
        </w:rPr>
        <w:drawing>
          <wp:inline distT="0" distB="0" distL="0" distR="0">
            <wp:extent cx="4189730" cy="2227580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2075" cy="22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5B07">
      <w:pPr>
        <w:snapToGrid w:val="0"/>
        <w:spacing w:line="360" w:lineRule="auto"/>
        <w:rPr>
          <w:rFonts w:ascii="Arial" w:hAnsi="Arial" w:cs="Arial"/>
          <w:highlight w:val="none"/>
        </w:rPr>
      </w:pPr>
      <w:r>
        <w:rPr>
          <w:rFonts w:hint="eastAsia" w:ascii="Arial" w:hAnsi="Arial" w:cs="Arial"/>
          <w:b/>
          <w:bCs/>
          <w:highlight w:val="none"/>
        </w:rPr>
        <w:t>Academic Lectures</w:t>
      </w:r>
      <w:r>
        <w:rPr>
          <w:rFonts w:ascii="Arial" w:hAnsi="Arial" w:cs="Arial"/>
          <w:b/>
          <w:bCs/>
          <w:highlight w:val="none"/>
        </w:rPr>
        <w:t xml:space="preserve">: </w:t>
      </w:r>
      <w:r>
        <w:rPr>
          <w:rFonts w:ascii="Arial" w:hAnsi="Arial" w:cs="Arial"/>
          <w:highlight w:val="none"/>
        </w:rPr>
        <w:t>The summer school will invite academic experts such as academicians and national high-level talents, internationally renowned scholars, enterprise experts and industry mentors in the fields of aerospace, robotics, high-end equipment, etc. to give academic presentations.</w:t>
      </w:r>
    </w:p>
    <w:p w14:paraId="484FDA0A">
      <w:pPr>
        <w:snapToGrid w:val="0"/>
        <w:spacing w:line="360" w:lineRule="auto"/>
        <w:rPr>
          <w:rFonts w:ascii="Arial" w:hAnsi="Arial" w:cs="Arial"/>
          <w:highlight w:val="none"/>
        </w:rPr>
      </w:pPr>
      <w:r>
        <w:rPr>
          <w:rFonts w:ascii="Arial" w:hAnsi="Arial" w:cs="Arial"/>
          <w:b/>
          <w:bCs/>
          <w:highlight w:val="none"/>
        </w:rPr>
        <w:t xml:space="preserve">Practical </w:t>
      </w:r>
      <w:r>
        <w:rPr>
          <w:rFonts w:hint="eastAsia" w:ascii="Arial" w:hAnsi="Arial" w:cs="Arial"/>
          <w:b/>
          <w:bCs/>
          <w:highlight w:val="none"/>
        </w:rPr>
        <w:t>Activities</w:t>
      </w:r>
      <w:r>
        <w:rPr>
          <w:rFonts w:ascii="Arial" w:hAnsi="Arial" w:cs="Arial"/>
          <w:b/>
          <w:bCs/>
          <w:highlight w:val="none"/>
        </w:rPr>
        <w:t>:</w:t>
      </w:r>
      <w:r>
        <w:rPr>
          <w:rFonts w:ascii="Arial" w:hAnsi="Arial" w:cs="Arial"/>
          <w:highlight w:val="none"/>
        </w:rPr>
        <w:t xml:space="preserve"> students will </w:t>
      </w:r>
      <w:r>
        <w:rPr>
          <w:rFonts w:hint="eastAsia" w:ascii="Arial" w:hAnsi="Arial" w:cs="Arial"/>
          <w:highlight w:val="none"/>
        </w:rPr>
        <w:t>visit</w:t>
      </w:r>
      <w:r>
        <w:rPr>
          <w:rFonts w:ascii="Arial" w:hAnsi="Arial" w:cs="Arial"/>
          <w:highlight w:val="none"/>
        </w:rPr>
        <w:t xml:space="preserve"> the State Key Laboratory and other </w:t>
      </w:r>
      <w:r>
        <w:rPr>
          <w:rFonts w:hint="eastAsia" w:ascii="Arial" w:hAnsi="Arial" w:cs="Arial"/>
          <w:highlight w:val="none"/>
        </w:rPr>
        <w:t>laboratories</w:t>
      </w:r>
      <w:r>
        <w:rPr>
          <w:rFonts w:ascii="Arial" w:hAnsi="Arial" w:cs="Arial"/>
          <w:highlight w:val="none"/>
        </w:rPr>
        <w:t xml:space="preserve">, and communicate with excellent </w:t>
      </w:r>
      <w:r>
        <w:rPr>
          <w:rFonts w:hint="eastAsia" w:ascii="Arial" w:hAnsi="Arial" w:cs="Arial"/>
          <w:highlight w:val="none"/>
        </w:rPr>
        <w:t>post</w:t>
      </w:r>
      <w:r>
        <w:rPr>
          <w:rFonts w:ascii="Arial" w:hAnsi="Arial" w:cs="Arial"/>
          <w:highlight w:val="none"/>
        </w:rPr>
        <w:t>graduate students.</w:t>
      </w:r>
    </w:p>
    <w:p w14:paraId="411B0BF7">
      <w:pPr>
        <w:snapToGrid w:val="0"/>
        <w:spacing w:line="360" w:lineRule="auto"/>
        <w:rPr>
          <w:rFonts w:ascii="Arial" w:hAnsi="Arial" w:cs="Arial"/>
          <w:highlight w:val="none"/>
        </w:rPr>
      </w:pPr>
      <w:r>
        <w:rPr>
          <w:rFonts w:hint="eastAsia" w:ascii="Arial" w:hAnsi="Arial" w:cs="Arial"/>
          <w:b/>
          <w:bCs/>
          <w:highlight w:val="none"/>
        </w:rPr>
        <w:t>Program Dates</w:t>
      </w:r>
      <w:r>
        <w:rPr>
          <w:rFonts w:ascii="Arial" w:hAnsi="Arial" w:cs="Arial"/>
          <w:b/>
          <w:bCs/>
          <w:highlight w:val="none"/>
        </w:rPr>
        <w:t xml:space="preserve">: </w:t>
      </w:r>
      <w:r>
        <w:rPr>
          <w:rFonts w:ascii="Arial" w:hAnsi="Arial" w:cs="Arial"/>
          <w:highlight w:val="none"/>
        </w:rPr>
        <w:t>July 1</w:t>
      </w:r>
      <w:r>
        <w:rPr>
          <w:rFonts w:hint="eastAsia" w:ascii="Arial" w:hAnsi="Arial" w:cs="Arial"/>
          <w:highlight w:val="none"/>
        </w:rPr>
        <w:t>3</w:t>
      </w:r>
      <w:r>
        <w:rPr>
          <w:rFonts w:ascii="Arial" w:hAnsi="Arial" w:cs="Arial"/>
          <w:highlight w:val="none"/>
        </w:rPr>
        <w:t>-</w:t>
      </w:r>
      <w:r>
        <w:rPr>
          <w:rFonts w:hint="eastAsia" w:ascii="Arial" w:hAnsi="Arial" w:cs="Arial"/>
          <w:highlight w:val="none"/>
        </w:rPr>
        <w:t>17</w:t>
      </w:r>
      <w:r>
        <w:rPr>
          <w:rFonts w:ascii="Arial" w:hAnsi="Arial" w:cs="Arial"/>
          <w:highlight w:val="none"/>
        </w:rPr>
        <w:t>, 202</w:t>
      </w:r>
      <w:r>
        <w:rPr>
          <w:rFonts w:hint="eastAsia" w:ascii="Arial" w:hAnsi="Arial" w:cs="Arial"/>
          <w:highlight w:val="none"/>
        </w:rPr>
        <w:t>6</w:t>
      </w:r>
    </w:p>
    <w:p w14:paraId="446E8AB0">
      <w:pPr>
        <w:snapToGrid w:val="0"/>
        <w:spacing w:line="360" w:lineRule="auto"/>
        <w:rPr>
          <w:rFonts w:ascii="Arial" w:hAnsi="Arial" w:cs="Arial"/>
          <w:highlight w:val="none"/>
        </w:rPr>
      </w:pPr>
      <w:r>
        <w:rPr>
          <w:rFonts w:ascii="Arial" w:hAnsi="Arial" w:cs="Arial"/>
          <w:b/>
          <w:bCs/>
          <w:highlight w:val="none"/>
        </w:rPr>
        <w:t xml:space="preserve">Enrollment </w:t>
      </w:r>
      <w:r>
        <w:rPr>
          <w:rFonts w:hint="eastAsia" w:ascii="Arial" w:hAnsi="Arial" w:cs="Arial"/>
          <w:b/>
          <w:bCs/>
          <w:highlight w:val="none"/>
        </w:rPr>
        <w:t>P</w:t>
      </w:r>
      <w:r>
        <w:rPr>
          <w:rFonts w:ascii="Arial" w:hAnsi="Arial" w:cs="Arial"/>
          <w:b/>
          <w:bCs/>
          <w:highlight w:val="none"/>
        </w:rPr>
        <w:t>lan</w:t>
      </w:r>
      <w:r>
        <w:rPr>
          <w:rFonts w:hint="eastAsia" w:ascii="Arial" w:hAnsi="Arial" w:cs="Arial"/>
          <w:b/>
          <w:bCs/>
          <w:highlight w:val="none"/>
        </w:rPr>
        <w:t>:</w:t>
      </w:r>
      <w:r>
        <w:rPr>
          <w:rFonts w:ascii="Arial" w:hAnsi="Arial" w:cs="Arial"/>
          <w:highlight w:val="none"/>
        </w:rPr>
        <w:t xml:space="preserve"> The </w:t>
      </w:r>
      <w:r>
        <w:rPr>
          <w:rFonts w:hint="eastAsia" w:ascii="Arial" w:hAnsi="Arial" w:cs="Arial"/>
          <w:highlight w:val="none"/>
        </w:rPr>
        <w:t>summer</w:t>
      </w:r>
      <w:r>
        <w:rPr>
          <w:rFonts w:ascii="Arial" w:hAnsi="Arial" w:cs="Arial"/>
          <w:highlight w:val="none"/>
        </w:rPr>
        <w:t xml:space="preserve"> school is to enroll about 100 postgraduate students and outstanding undergraduate students.</w:t>
      </w:r>
    </w:p>
    <w:p w14:paraId="37F3CE91">
      <w:pPr>
        <w:snapToGrid w:val="0"/>
        <w:spacing w:line="360" w:lineRule="auto"/>
        <w:rPr>
          <w:rFonts w:ascii="Arial" w:hAnsi="Arial" w:cs="Arial"/>
          <w:highlight w:val="none"/>
        </w:rPr>
      </w:pPr>
      <w:r>
        <w:rPr>
          <w:rFonts w:ascii="Arial" w:hAnsi="Arial" w:cs="Arial"/>
          <w:b/>
          <w:bCs/>
          <w:highlight w:val="none"/>
        </w:rPr>
        <w:t xml:space="preserve">Registration </w:t>
      </w:r>
      <w:r>
        <w:rPr>
          <w:rFonts w:hint="eastAsia" w:ascii="Arial" w:hAnsi="Arial" w:cs="Arial"/>
          <w:b/>
          <w:bCs/>
          <w:highlight w:val="none"/>
        </w:rPr>
        <w:t>M</w:t>
      </w:r>
      <w:r>
        <w:rPr>
          <w:rFonts w:ascii="Arial" w:hAnsi="Arial" w:cs="Arial"/>
          <w:b/>
          <w:bCs/>
          <w:highlight w:val="none"/>
        </w:rPr>
        <w:t xml:space="preserve">ethod: </w:t>
      </w:r>
      <w:r>
        <w:rPr>
          <w:rFonts w:hint="eastAsia" w:ascii="Arial" w:hAnsi="Arial" w:cs="Arial"/>
          <w:highlight w:val="none"/>
        </w:rPr>
        <w:t>Interested applicants should complete the online registration form below.</w:t>
      </w:r>
      <w:r>
        <w:rPr>
          <w:rFonts w:ascii="Arial" w:hAnsi="Arial" w:cs="Arial"/>
          <w:highlight w:val="none"/>
        </w:rPr>
        <w:t xml:space="preserve">  </w:t>
      </w:r>
      <w:r>
        <w:rPr>
          <w:rFonts w:hint="eastAsia" w:ascii="Arial" w:hAnsi="Arial" w:cs="Arial"/>
          <w:highlight w:val="none"/>
        </w:rPr>
        <w:t xml:space="preserve">https://hitsmeyb.mike-x.com/Grvx5 </w:t>
      </w:r>
    </w:p>
    <w:p w14:paraId="57948C71">
      <w:pPr>
        <w:snapToGrid w:val="0"/>
        <w:spacing w:line="360" w:lineRule="auto"/>
        <w:rPr>
          <w:rFonts w:ascii="Arial" w:hAnsi="Arial" w:cs="Arial"/>
          <w:highlight w:val="none"/>
        </w:rPr>
      </w:pPr>
      <w:r>
        <w:rPr>
          <w:rFonts w:hint="eastAsia" w:ascii="Arial" w:hAnsi="Arial" w:cs="Arial"/>
          <w:highlight w:val="none"/>
        </w:rPr>
        <w:t>The registration deadline is 20:00 Beijing Time (UTC+8) on June 29, 2026.</w:t>
      </w:r>
    </w:p>
    <w:p w14:paraId="007936F6">
      <w:pPr>
        <w:snapToGrid w:val="0"/>
        <w:spacing w:line="36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14:paraId="5770FA1B">
      <w:pPr>
        <w:snapToGri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Contact </w:t>
      </w:r>
      <w:r>
        <w:rPr>
          <w:rFonts w:hint="eastAsia"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>hone Number: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>+86</w:t>
      </w:r>
      <w:r>
        <w:rPr>
          <w:rFonts w:ascii="Arial" w:hAnsi="Arial" w:cs="Arial"/>
          <w:bCs/>
        </w:rPr>
        <w:t>-</w:t>
      </w:r>
      <w:r>
        <w:rPr>
          <w:rFonts w:ascii="Arial" w:hAnsi="Arial" w:cs="Arial"/>
        </w:rPr>
        <w:t xml:space="preserve">451-86413811 </w:t>
      </w:r>
      <w:r>
        <w:rPr>
          <w:rFonts w:ascii="Arial" w:hAnsi="Arial" w:cs="Arial"/>
          <w:highlight w:val="yellow"/>
        </w:rPr>
        <w:t>(</w:t>
      </w:r>
      <w:r>
        <w:rPr>
          <w:rFonts w:hint="eastAsia" w:ascii="Arial" w:hAnsi="Arial" w:cs="Arial"/>
          <w:highlight w:val="yellow"/>
        </w:rPr>
        <w:t>Ms.</w:t>
      </w:r>
      <w:r>
        <w:rPr>
          <w:rFonts w:ascii="Arial" w:hAnsi="Arial" w:cs="Arial"/>
        </w:rPr>
        <w:t xml:space="preserve"> Yu</w:t>
      </w:r>
      <w:r>
        <w:rPr>
          <w:rFonts w:hint="eastAsia" w:ascii="Arial" w:hAnsi="Arial" w:cs="Arial"/>
        </w:rPr>
        <w:t>、</w:t>
      </w:r>
      <w:r>
        <w:rPr>
          <w:rFonts w:hint="eastAsia" w:ascii="Arial" w:hAnsi="Arial" w:cs="Arial"/>
          <w:highlight w:val="yellow"/>
        </w:rPr>
        <w:t>Ms.</w:t>
      </w:r>
      <w:r>
        <w:rPr>
          <w:rFonts w:ascii="Arial" w:hAnsi="Arial" w:cs="Arial"/>
          <w:highlight w:val="yellow"/>
        </w:rPr>
        <w:t xml:space="preserve"> </w:t>
      </w:r>
      <w:r>
        <w:rPr>
          <w:rFonts w:hint="eastAsia" w:ascii="Arial" w:hAnsi="Arial" w:cs="Arial"/>
        </w:rPr>
        <w:t>Jiang</w:t>
      </w:r>
      <w:r>
        <w:rPr>
          <w:rFonts w:ascii="Arial" w:hAnsi="Arial" w:cs="Arial"/>
        </w:rPr>
        <w:t>)</w:t>
      </w:r>
    </w:p>
    <w:sectPr>
      <w:footerReference r:id="rId3" w:type="default"/>
      <w:pgSz w:w="11906" w:h="16838"/>
      <w:pgMar w:top="1440" w:right="1080" w:bottom="1440" w:left="108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dobe Gothic Std B">
    <w:altName w:val="Yu Gothic UI Semibold"/>
    <w:panose1 w:val="00000000000000000000"/>
    <w:charset w:val="80"/>
    <w:family w:val="swiss"/>
    <w:pitch w:val="default"/>
    <w:sig w:usb0="00000000" w:usb1="00000000" w:usb2="00000010" w:usb3="00000000" w:csb0="002A0005" w:csb1="0000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16383739"/>
    </w:sdtPr>
    <w:sdtContent>
      <w:p w14:paraId="01920E7A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4 -</w:t>
        </w:r>
        <w:r>
          <w:fldChar w:fldCharType="end"/>
        </w:r>
      </w:p>
    </w:sdtContent>
  </w:sdt>
  <w:p w14:paraId="4B2CFD1F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923"/>
    <w:rsid w:val="00003454"/>
    <w:rsid w:val="000074C9"/>
    <w:rsid w:val="00257259"/>
    <w:rsid w:val="002D5E57"/>
    <w:rsid w:val="003514B5"/>
    <w:rsid w:val="00561872"/>
    <w:rsid w:val="0059777E"/>
    <w:rsid w:val="005C4E1E"/>
    <w:rsid w:val="006549A4"/>
    <w:rsid w:val="007B2127"/>
    <w:rsid w:val="00814DEE"/>
    <w:rsid w:val="008562E0"/>
    <w:rsid w:val="008C1923"/>
    <w:rsid w:val="008D1191"/>
    <w:rsid w:val="009124AF"/>
    <w:rsid w:val="00936AF5"/>
    <w:rsid w:val="00A705AD"/>
    <w:rsid w:val="00AA748B"/>
    <w:rsid w:val="00BC505B"/>
    <w:rsid w:val="00C434E0"/>
    <w:rsid w:val="00CB155A"/>
    <w:rsid w:val="00CC20D9"/>
    <w:rsid w:val="00CE5AC3"/>
    <w:rsid w:val="00DB1ED7"/>
    <w:rsid w:val="00F51B75"/>
    <w:rsid w:val="0DB04140"/>
    <w:rsid w:val="11BF6560"/>
    <w:rsid w:val="2B2810D4"/>
    <w:rsid w:val="414D7059"/>
    <w:rsid w:val="44FA3EE0"/>
    <w:rsid w:val="4DBA710F"/>
    <w:rsid w:val="79B3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标题 1 字符"/>
    <w:basedOn w:val="6"/>
    <w:link w:val="2"/>
    <w:qFormat/>
    <w:uiPriority w:val="9"/>
    <w:rPr>
      <w:rFonts w:cs="宋体"/>
      <w:b/>
      <w:bCs/>
      <w:kern w:val="36"/>
      <w:sz w:val="48"/>
      <w:szCs w:val="48"/>
    </w:rPr>
  </w:style>
  <w:style w:type="character" w:customStyle="1" w:styleId="11">
    <w:name w:val="wp_visitcount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926</Words>
  <Characters>2629</Characters>
  <Lines>21</Lines>
  <Paragraphs>5</Paragraphs>
  <TotalTime>254</TotalTime>
  <ScaleCrop>false</ScaleCrop>
  <LinksUpToDate>false</LinksUpToDate>
  <CharactersWithSpaces>2933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2024-07-25T03:09:00Z</dcterms:created>
  <dc:creator>Lenovo</dc:creator>
  <cp:lastModifiedBy> 葵葵 </cp:lastModifiedBy>
  <dcterms:modified xsi:type="dcterms:W3CDTF">2026-06-12T08:55:28Z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eyJoZGlkIjoiOTcwODllYjA1ZDk2ODhjZWMwOTcwZWY2ZmY2ZjI1YWMiLCJ1c2VySWQiOiIyOTQzNjkyMjAifQ==</vt:lpwstr>
  </property>
  <property fmtid="{D5CDD505-2E9C-101B-9397-08002B2CF9AE}" pid="3" name="KSOProductBuildVer">
    <vt:lpwstr>2052-12.1.0.26895</vt:lpwstr>
  </property>
  <property fmtid="{D5CDD505-2E9C-101B-9397-08002B2CF9AE}" pid="4" name="ICV">
    <vt:lpwstr>76D47BD9D6314751BA8D2618542AC367_13</vt:lpwstr>
  </property>
</Properties>
</file>